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粗黑宋简体" w:cs="Times New Roman"/>
          <w:b/>
          <w:bCs/>
          <w:sz w:val="44"/>
          <w:szCs w:val="44"/>
        </w:rPr>
      </w:pPr>
      <w:r>
        <w:rPr>
          <w:rFonts w:hint="eastAsia" w:ascii="方正粗黑宋简体" w:hAnsi="方正粗黑宋简体" w:eastAsia="方正粗黑宋简体" w:cs="宋体"/>
          <w:b/>
          <w:bCs/>
          <w:sz w:val="44"/>
          <w:szCs w:val="44"/>
        </w:rPr>
        <w:t>2024年安徽交运集团汽车销售有限公司4.17公务车辆</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2024</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4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17</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cols w:space="425" w:num="1"/>
          <w:docGrid w:type="lines" w:linePitch="312" w:charSpace="0"/>
        </w:sectPr>
      </w:pPr>
    </w:p>
    <w:sdt>
      <w:sdtPr>
        <w:rPr>
          <w:rFonts w:hint="eastAsia" w:ascii="黑体" w:hAnsi="黑体" w:eastAsia="黑体" w:cs="黑体"/>
          <w:sz w:val="44"/>
          <w:szCs w:val="44"/>
        </w:rPr>
        <w:id w:val="147481990"/>
        <w:docPartObj>
          <w:docPartGallery w:val="Table of Contents"/>
          <w:docPartUnique/>
        </w:docPartObj>
      </w:sdtPr>
      <w:sdtEndPr>
        <w:rPr>
          <w:rFonts w:hint="eastAsia" w:asciiTheme="minorHAnsi" w:hAnsiTheme="minorHAnsi" w:eastAsiaTheme="minorEastAsia" w:cstheme="minorBidi"/>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ind w:firstLine="240"/>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cs="Times New Roman"/>
              <w:kern w:val="2"/>
              <w:sz w:val="28"/>
              <w:szCs w:val="28"/>
            </w:rP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24354_WPSOffice_Level2"/>
      <w:bookmarkStart w:id="4" w:name="_Toc525632585"/>
      <w:bookmarkStart w:id="5" w:name="_Toc13871"/>
      <w:bookmarkStart w:id="6" w:name="_Toc12765"/>
      <w:bookmarkStart w:id="7" w:name="_Toc6496_WPSOffice_Level2"/>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rPr>
        <w:t>2024年安徽交运集团汽车销售有限公司4.17车辆采购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cs="Times New Roman"/>
          <w:szCs w:val="22"/>
        </w:rPr>
        <w:t xml:space="preserve"> </w:t>
      </w:r>
      <w:r>
        <w:rPr>
          <w:rFonts w:hint="eastAsia" w:ascii="Times New Roman" w:hAnsi="Times New Roman" w:cs="Times New Roman"/>
          <w:szCs w:val="22"/>
          <w:u w:val="single"/>
        </w:rPr>
        <w:t>采购4台越野车。</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23266_WPSOffice_Level2"/>
      <w:bookmarkStart w:id="11" w:name="_Toc8128_WPSOffice_Level2"/>
      <w:bookmarkStart w:id="12" w:name="_Toc10274"/>
      <w:bookmarkStart w:id="13" w:name="_Toc18367_WPSOffice_Level2"/>
      <w:bookmarkStart w:id="14" w:name="_Toc17858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微软雅黑" w:hAnsi="微软雅黑" w:eastAsia="微软雅黑" w:cs="微软雅黑"/>
          <w:color w:val="FF7700"/>
          <w:szCs w:val="21"/>
          <w:shd w:val="clear" w:color="auto" w:fill="FFFFFF"/>
        </w:rPr>
      </w:pPr>
      <w:r>
        <w:rPr>
          <w:rFonts w:ascii="Times New Roman" w:hAnsi="Times New Roman" w:cs="Times New Roman"/>
          <w:szCs w:val="22"/>
        </w:rPr>
        <w:t xml:space="preserve">2.3 </w:t>
      </w:r>
      <w:r>
        <w:rPr>
          <w:rFonts w:hint="eastAsia" w:ascii="Times New Roman" w:hAnsi="Times New Roman" w:cs="Times New Roman"/>
          <w:szCs w:val="22"/>
        </w:rPr>
        <w:t xml:space="preserve">采购范围： </w:t>
      </w:r>
      <w:r>
        <w:rPr>
          <w:rFonts w:hint="eastAsia" w:ascii="Times New Roman" w:hAnsi="Times New Roman" w:cs="Times New Roman"/>
          <w:szCs w:val="22"/>
          <w:u w:val="single"/>
        </w:rPr>
        <w:t>采购4台大众途观越野车</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不分包</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hint="eastAsia" w:ascii="Times New Roman" w:hAnsi="Times New Roman" w:cs="Times New Roman"/>
          <w:szCs w:val="22"/>
        </w:rPr>
        <w:t xml:space="preserve"> </w:t>
      </w:r>
      <w:r>
        <w:rPr>
          <w:rFonts w:hint="eastAsia" w:ascii="Times New Roman" w:hAnsi="Times New Roman" w:cs="Times New Roman"/>
          <w:szCs w:val="22"/>
          <w:u w:val="single"/>
        </w:rPr>
        <w:t>采购4台大众途观L300龙腾版  控制价72万元（含购置税）</w:t>
      </w:r>
    </w:p>
    <w:p>
      <w:pPr>
        <w:snapToGrid w:val="0"/>
        <w:spacing w:line="480" w:lineRule="auto"/>
        <w:ind w:firstLine="420" w:firstLineChars="200"/>
        <w:rPr>
          <w:rFonts w:cs="宋体"/>
          <w:color w:val="0000FF"/>
          <w:szCs w:val="21"/>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color w:val="auto"/>
          <w:szCs w:val="21"/>
          <w:u w:val="single"/>
        </w:rPr>
        <w:t>合同签订后30个日历天内</w:t>
      </w:r>
    </w:p>
    <w:p>
      <w:pPr>
        <w:pStyle w:val="5"/>
        <w:snapToGrid w:val="0"/>
        <w:spacing w:before="120" w:after="120" w:line="560" w:lineRule="exact"/>
        <w:ind w:firstLine="403"/>
        <w:rPr>
          <w:rFonts w:ascii="Times New Roman" w:hAnsi="Times New Roman" w:eastAsia="黑体" w:cs="Times New Roman"/>
          <w:bCs w:val="0"/>
          <w:sz w:val="22"/>
          <w:szCs w:val="15"/>
        </w:rPr>
      </w:pPr>
      <w:bookmarkStart w:id="19" w:name="_Toc31673_WPSOffice_Level2"/>
      <w:bookmarkStart w:id="20" w:name="_Toc29516_WPSOffice_Level2"/>
      <w:bookmarkStart w:id="21" w:name="_Toc525632587"/>
      <w:bookmarkStart w:id="22" w:name="_Toc3714"/>
      <w:bookmarkStart w:id="23" w:name="_Toc1622_WPSOffice_Level2"/>
      <w:bookmarkStart w:id="24" w:name="_Toc6388"/>
      <w:bookmarkStart w:id="25" w:name="_Toc22379_WPSOffice_Level2"/>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1.提供有效的供应商营业执照或事业单位法人登记证书；</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2.供应商存在以下不良信用记录情形之一的，不得推荐为成交候选供应商，不得确定为成交供应商：</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 xml:space="preserve">（1）供应商被人民法院列入失信被执行人的； </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（2）供应商被税务部门列入重大税收违法案件当事人名单的。</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shd w:val="clear" w:color="auto" w:fill="FFFFFF"/>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1994"/>
      <w:bookmarkStart w:id="28" w:name="_Toc2996_WPSOffice_Level2"/>
      <w:bookmarkStart w:id="29" w:name="_Toc4109_WPSOffice_Level2"/>
      <w:bookmarkStart w:id="30" w:name="_Toc4751"/>
      <w:bookmarkStart w:id="31" w:name="_Toc525632588"/>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2024</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4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25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10</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w:t>
      </w:r>
      <w:r>
        <w:rPr>
          <w:rFonts w:ascii="Times New Roman" w:hAnsi="Times New Roman" w:cs="Times New Roman"/>
          <w:szCs w:val="22"/>
          <w:u w:val="single"/>
        </w:rPr>
        <w:t xml:space="preserve"> </w:t>
      </w:r>
      <w:r>
        <w:rPr>
          <w:rFonts w:hint="eastAsia" w:ascii="Times New Roman" w:hAnsi="Times New Roman" w:cs="Times New Roman"/>
          <w:szCs w:val="22"/>
          <w:u w:val="single"/>
        </w:rPr>
        <w:t>2024</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4</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25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10</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w:t>
      </w:r>
      <w:r>
        <w:rPr>
          <w:rFonts w:hint="eastAsia" w:ascii="Times New Roman" w:hAnsi="Times New Roman" w:cs="Times New Roman"/>
          <w:szCs w:val="22"/>
        </w:rPr>
        <w:t>至</w:t>
      </w:r>
      <w:r>
        <w:rPr>
          <w:rFonts w:ascii="Times New Roman" w:hAnsi="Times New Roman" w:cs="Times New Roman"/>
          <w:szCs w:val="22"/>
        </w:rPr>
        <w:t>递交的截止时间前将响应文件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合肥市胜利路35号  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本项目不收取响应保证金。</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28571_WPSOffice_Level2"/>
      <w:bookmarkStart w:id="39" w:name="_Toc8501"/>
      <w:bookmarkStart w:id="40" w:name="_Toc14943_WPSOffice_Level2"/>
      <w:bookmarkStart w:id="41" w:name="_Toc20572_WPSOffice_Level2"/>
      <w:bookmarkStart w:id="42" w:name="_Toc26829"/>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合肥市胜利路35号 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0551-64299058</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p>
    <w:p>
      <w:pPr>
        <w:pStyle w:val="2"/>
        <w:ind w:firstLine="210"/>
        <w:rPr>
          <w:rFonts w:ascii="Times New Roman" w:hAnsi="Times New Roman" w:cs="Times New Roman"/>
          <w:sz w:val="21"/>
          <w:szCs w:val="22"/>
          <w:u w:val="single"/>
        </w:rPr>
      </w:pPr>
    </w:p>
    <w:p>
      <w:pPr>
        <w:pStyle w:val="2"/>
        <w:ind w:firstLine="210"/>
        <w:rPr>
          <w:rFonts w:ascii="Times New Roman" w:hAnsi="Times New Roman" w:cs="Times New Roman"/>
          <w:sz w:val="21"/>
          <w:szCs w:val="22"/>
          <w:u w:val="single"/>
        </w:rPr>
      </w:pPr>
    </w:p>
    <w:p>
      <w:pPr>
        <w:pStyle w:val="2"/>
        <w:ind w:firstLine="0" w:firstLineChars="0"/>
        <w:rPr>
          <w:rFonts w:ascii="Times New Roman" w:hAnsi="Times New Roman" w:cs="Times New Roman"/>
          <w:sz w:val="21"/>
          <w:szCs w:val="22"/>
          <w:u w:val="single"/>
        </w:rPr>
      </w:pP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right"/>
        <w:rPr>
          <w:rFonts w:hint="default" w:ascii="Times New Roman" w:hAnsi="Times New Roman"/>
          <w:color w:val="auto"/>
          <w:szCs w:val="28"/>
        </w:rPr>
      </w:pPr>
      <w:r>
        <w:rPr>
          <w:rFonts w:ascii="Times New Roman" w:hAnsi="Times New Roman"/>
          <w:color w:val="auto"/>
          <w:sz w:val="21"/>
          <w:szCs w:val="22"/>
        </w:rPr>
        <w:t xml:space="preserve">2024 </w:t>
      </w:r>
      <w:r>
        <w:rPr>
          <w:rFonts w:hint="default" w:ascii="Times New Roman" w:hAnsi="Times New Roman"/>
          <w:color w:val="auto"/>
          <w:sz w:val="21"/>
          <w:szCs w:val="22"/>
        </w:rPr>
        <w:t>年</w:t>
      </w:r>
      <w:r>
        <w:rPr>
          <w:rFonts w:ascii="Times New Roman" w:hAnsi="Times New Roman"/>
          <w:color w:val="auto"/>
          <w:sz w:val="21"/>
          <w:szCs w:val="22"/>
        </w:rPr>
        <w:t xml:space="preserve"> 4 </w:t>
      </w:r>
      <w:r>
        <w:rPr>
          <w:rFonts w:hint="default" w:ascii="Times New Roman" w:hAnsi="Times New Roman"/>
          <w:color w:val="auto"/>
          <w:sz w:val="21"/>
          <w:szCs w:val="22"/>
        </w:rPr>
        <w:t>月</w:t>
      </w:r>
      <w:r>
        <w:rPr>
          <w:rFonts w:ascii="Times New Roman" w:hAnsi="Times New Roman"/>
          <w:color w:val="auto"/>
          <w:sz w:val="21"/>
          <w:szCs w:val="22"/>
        </w:rPr>
        <w:t xml:space="preserve"> 17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Lines="5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__</w:t>
      </w:r>
      <w:r>
        <w:rPr>
          <w:rFonts w:hint="eastAsia" w:ascii="Times New Roman" w:hAnsi="Times New Roman" w:cs="Times New Roman"/>
          <w:szCs w:val="21"/>
          <w:u w:val="single"/>
        </w:rPr>
        <w:t>符合国家标准</w:t>
      </w:r>
      <w:r>
        <w:rPr>
          <w:rFonts w:hint="eastAsia" w:ascii="Times New Roman" w:hAnsi="Times New Roman" w:cs="Times New Roman"/>
          <w:szCs w:val="21"/>
        </w:rPr>
        <w:t>__。</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不分包。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（6）技术性能（质量）指标描述；</w:t>
      </w:r>
    </w:p>
    <w:p>
      <w:pPr>
        <w:spacing w:line="440" w:lineRule="exact"/>
        <w:ind w:firstLine="420"/>
        <w:rPr>
          <w:rFonts w:ascii="Times New Roman" w:hAnsi="Times New Roman" w:cs="Times New Roman"/>
        </w:rPr>
      </w:pPr>
      <w:r>
        <w:rPr>
          <w:rFonts w:hint="eastAsia" w:ascii="Times New Roman" w:hAnsi="Times New Roman" w:cs="Times New Roman"/>
        </w:rPr>
        <w:t>（7）供货方案；</w:t>
      </w:r>
    </w:p>
    <w:p>
      <w:pPr>
        <w:spacing w:line="440" w:lineRule="exact"/>
        <w:ind w:firstLine="420"/>
        <w:rPr>
          <w:rFonts w:ascii="Times New Roman" w:hAnsi="Times New Roman" w:cs="Times New Roman"/>
        </w:rPr>
      </w:pPr>
      <w:r>
        <w:rPr>
          <w:rFonts w:hint="eastAsia" w:ascii="Times New Roman" w:hAnsi="Times New Roman" w:cs="Times New Roman"/>
        </w:rPr>
        <w:t>（8）响应参数表；</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w:t>
      </w:r>
      <w:r>
        <w:rPr>
          <w:rFonts w:ascii="Times New Roman" w:hAnsi="Times New Roman" w:cs="Times New Roman"/>
          <w:color w:val="0000FF"/>
        </w:rPr>
        <w:t xml:space="preserve"> </w:t>
      </w:r>
      <w:r>
        <w:rPr>
          <w:rFonts w:ascii="Times New Roman" w:hAnsi="Times New Roman" w:cs="Times New Roman"/>
          <w:color w:val="0000FF"/>
          <w:highlight w:val="green"/>
        </w:rPr>
        <w:t>报价应包括国家规定的增值税税金</w:t>
      </w:r>
      <w:r>
        <w:rPr>
          <w:rFonts w:hint="eastAsia" w:ascii="Times New Roman" w:hAnsi="Times New Roman" w:cs="Times New Roman"/>
          <w:color w:val="0000FF"/>
          <w:highlight w:val="green"/>
        </w:rPr>
        <w:t>，供应商应提供增值税发票（13%）</w:t>
      </w:r>
      <w:r>
        <w:rPr>
          <w:rFonts w:ascii="Times New Roman" w:hAnsi="Times New Roman" w:cs="Times New Roman"/>
          <w:color w:val="0000FF"/>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u w:val="single"/>
        </w:rPr>
        <w:t>无</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3.4资格审查资料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响应文件应当对询比文件有关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w:t>
      </w:r>
      <w:r>
        <w:rPr>
          <w:rFonts w:hint="eastAsia" w:ascii="Times New Roman" w:hAnsi="Times New Roman" w:cs="Times New Roman"/>
        </w:rPr>
        <w:t>胶装</w:t>
      </w:r>
      <w:r>
        <w:rPr>
          <w:rFonts w:ascii="Times New Roman" w:hAnsi="Times New Roman" w:cs="Times New Roman"/>
        </w:rPr>
        <w:t>装订。</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递交响应文件表</w:t>
      </w:r>
      <w:r>
        <w:rPr>
          <w:rFonts w:ascii="Times New Roman" w:hAnsi="Times New Roman"/>
        </w:rPr>
        <w:t>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44" w:name="_Toc14201241"/>
      <w:bookmarkStart w:id="45" w:name="_Toc26656972"/>
      <w:bookmarkStart w:id="46" w:name="_Toc9067725"/>
      <w:r>
        <w:rPr>
          <w:rFonts w:ascii="Times New Roman" w:hAnsi="Times New Roman" w:eastAsia="黑体" w:cs="Times New Roman"/>
          <w:bCs/>
          <w:sz w:val="24"/>
          <w:szCs w:val="32"/>
        </w:rPr>
        <w:t>6. 评</w:t>
      </w:r>
      <w:bookmarkEnd w:id="44"/>
      <w:bookmarkEnd w:id="45"/>
      <w:bookmarkEnd w:id="4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47" w:name="_Toc14201242"/>
      <w:bookmarkStart w:id="48" w:name="_Toc26656973"/>
      <w:r>
        <w:rPr>
          <w:rFonts w:ascii="Times New Roman" w:hAnsi="Times New Roman" w:eastAsia="黑体" w:cs="Times New Roman"/>
          <w:bCs/>
          <w:sz w:val="24"/>
          <w:szCs w:val="32"/>
        </w:rPr>
        <w:t>6.1</w:t>
      </w:r>
      <w:bookmarkEnd w:id="47"/>
      <w:bookmarkEnd w:id="48"/>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49" w:name="_Toc26656975"/>
      <w:bookmarkStart w:id="50"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49"/>
      <w:bookmarkEnd w:id="5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51" w:name="_Toc26656976"/>
      <w:bookmarkStart w:id="52" w:name="_Toc14201245"/>
      <w:bookmarkStart w:id="53" w:name="_Toc9067726"/>
      <w:r>
        <w:rPr>
          <w:rFonts w:ascii="Times New Roman" w:hAnsi="Times New Roman" w:eastAsia="黑体" w:cs="Times New Roman"/>
          <w:bCs/>
          <w:sz w:val="24"/>
          <w:szCs w:val="32"/>
        </w:rPr>
        <w:t>7. 合同授予</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14201246"/>
      <w:bookmarkStart w:id="55" w:name="_Toc26656977"/>
      <w:r>
        <w:rPr>
          <w:rFonts w:ascii="Times New Roman" w:hAnsi="Times New Roman" w:eastAsia="黑体" w:cs="Times New Roman"/>
          <w:bCs/>
          <w:sz w:val="24"/>
          <w:szCs w:val="32"/>
        </w:rPr>
        <w:t>7.1成交候选人公示</w:t>
      </w:r>
      <w:bookmarkEnd w:id="54"/>
      <w:bookmarkEnd w:id="5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56" w:name="_Toc26656978"/>
      <w:bookmarkStart w:id="57" w:name="_Toc14201247"/>
      <w:r>
        <w:rPr>
          <w:rFonts w:ascii="Times New Roman" w:hAnsi="Times New Roman" w:eastAsia="黑体" w:cs="Times New Roman"/>
          <w:bCs/>
          <w:sz w:val="24"/>
          <w:szCs w:val="32"/>
        </w:rPr>
        <w:t>7.2评审结果异议</w:t>
      </w:r>
      <w:bookmarkEnd w:id="56"/>
      <w:bookmarkEnd w:id="5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58" w:name="_Toc26656979"/>
      <w:bookmarkStart w:id="59" w:name="_Toc14201248"/>
      <w:r>
        <w:rPr>
          <w:rFonts w:ascii="Times New Roman" w:hAnsi="Times New Roman" w:eastAsia="黑体" w:cs="Times New Roman"/>
          <w:bCs/>
          <w:sz w:val="24"/>
          <w:szCs w:val="32"/>
        </w:rPr>
        <w:t>7.3成交候选人履约能力审查</w:t>
      </w:r>
      <w:bookmarkEnd w:id="58"/>
      <w:bookmarkEnd w:id="5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0" w:name="_Toc14201253"/>
      <w:bookmarkStart w:id="61"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采购人取消其成交资格；给采购人造成的损失的，成交人还应予以赔偿。</w:t>
      </w:r>
    </w:p>
    <w:p>
      <w:pPr>
        <w:keepNext/>
        <w:keepLines/>
        <w:spacing w:beforeLines="50" w:afterLines="50"/>
        <w:outlineLvl w:val="1"/>
        <w:rPr>
          <w:rFonts w:ascii="Times New Roman" w:hAnsi="Times New Roman" w:eastAsia="黑体" w:cs="Times New Roman"/>
          <w:bCs/>
          <w:sz w:val="24"/>
          <w:szCs w:val="32"/>
        </w:rPr>
      </w:pPr>
      <w:bookmarkStart w:id="62" w:name="_Toc26656988"/>
      <w:bookmarkStart w:id="63" w:name="_Toc9067727"/>
      <w:bookmarkStart w:id="64" w:name="_Toc14201257"/>
      <w:r>
        <w:rPr>
          <w:rFonts w:ascii="Times New Roman" w:hAnsi="Times New Roman" w:eastAsia="黑体" w:cs="Times New Roman"/>
          <w:bCs/>
          <w:sz w:val="24"/>
          <w:szCs w:val="32"/>
        </w:rPr>
        <w:t>8. 纪律和监督</w:t>
      </w:r>
      <w:bookmarkEnd w:id="62"/>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65" w:name="_Toc14201262"/>
      <w:bookmarkStart w:id="66"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5"/>
      <w:bookmarkEnd w:id="66"/>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Lines="50" w:afterLines="50"/>
        <w:outlineLvl w:val="1"/>
        <w:rPr>
          <w:rFonts w:ascii="Times New Roman" w:hAnsi="Times New Roman" w:eastAsia="黑体" w:cs="Times New Roman"/>
          <w:bCs/>
          <w:sz w:val="24"/>
          <w:szCs w:val="32"/>
        </w:rPr>
      </w:pPr>
      <w:bookmarkStart w:id="67" w:name="_Toc26656994"/>
      <w:bookmarkStart w:id="68" w:name="_Toc14201263"/>
      <w:bookmarkStart w:id="69"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67"/>
      <w:bookmarkEnd w:id="68"/>
      <w:bookmarkEnd w:id="6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Cs w:val="28"/>
        </w:rPr>
      </w:pPr>
    </w:p>
    <w:p>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bookmarkStart w:id="70" w:name="_Toc1818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70"/>
    </w:p>
    <w:p>
      <w:pPr>
        <w:rPr>
          <w:rFonts w:ascii="Times New Roman" w:hAnsi="Times New Roman" w:eastAsia="宋体" w:cs="Times New Roman"/>
        </w:rPr>
      </w:pPr>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pPr>
              <w:pStyle w:val="3"/>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.5</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14"/>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pPr>
        <w:spacing w:line="440" w:lineRule="exact"/>
        <w:ind w:firstLine="420"/>
        <w:rPr>
          <w:rFonts w:ascii="Times New Roman" w:hAnsi="Times New Roman" w:cs="Times New Roman"/>
        </w:rPr>
      </w:pPr>
      <w:bookmarkStart w:id="71" w:name="_Toc21524_WPSOffice_Level2"/>
      <w:bookmarkStart w:id="72" w:name="_Toc218_WPSOffice_Level2"/>
      <w:bookmarkStart w:id="73" w:name="_Toc12245_WPSOffice_Level2"/>
      <w:r>
        <w:rPr>
          <w:rFonts w:ascii="Times New Roman" w:hAnsi="Times New Roman" w:cs="Times New Roman"/>
        </w:rPr>
        <w:t>（一）采购项目基本情况</w:t>
      </w:r>
      <w:bookmarkEnd w:id="71"/>
      <w:bookmarkEnd w:id="72"/>
      <w:bookmarkEnd w:id="73"/>
    </w:p>
    <w:p>
      <w:pPr>
        <w:spacing w:line="440" w:lineRule="exact"/>
        <w:ind w:firstLine="420"/>
        <w:rPr>
          <w:rFonts w:ascii="Times New Roman" w:hAnsi="Times New Roman" w:cs="Times New Roman"/>
        </w:rPr>
      </w:pPr>
      <w:bookmarkStart w:id="74" w:name="_Toc8414_WPSOffice_Level2"/>
      <w:bookmarkStart w:id="75" w:name="_Toc31322_WPSOffice_Level2"/>
      <w:bookmarkStart w:id="76" w:name="_Toc5856_WPSOffice_Level2"/>
      <w:r>
        <w:rPr>
          <w:rFonts w:ascii="Times New Roman" w:hAnsi="Times New Roman" w:cs="Times New Roman"/>
        </w:rPr>
        <w:t>（二）采购过程回顾</w:t>
      </w:r>
      <w:bookmarkEnd w:id="74"/>
      <w:bookmarkEnd w:id="75"/>
      <w:bookmarkEnd w:id="76"/>
    </w:p>
    <w:p>
      <w:pPr>
        <w:spacing w:line="440" w:lineRule="exact"/>
        <w:ind w:firstLine="420"/>
        <w:rPr>
          <w:rFonts w:ascii="Times New Roman" w:hAnsi="Times New Roman" w:cs="Times New Roman"/>
        </w:rPr>
      </w:pPr>
      <w:bookmarkStart w:id="77" w:name="_Toc1346_WPSOffice_Level2"/>
      <w:bookmarkStart w:id="78" w:name="_Toc15620_WPSOffice_Level2"/>
      <w:bookmarkStart w:id="79" w:name="_Toc2932_WPSOffice_Level2"/>
      <w:r>
        <w:rPr>
          <w:rFonts w:ascii="Times New Roman" w:hAnsi="Times New Roman" w:cs="Times New Roman"/>
        </w:rPr>
        <w:t>（三）评审小组成员名单</w:t>
      </w:r>
      <w:bookmarkEnd w:id="77"/>
      <w:bookmarkEnd w:id="78"/>
      <w:bookmarkEnd w:id="79"/>
    </w:p>
    <w:p>
      <w:pPr>
        <w:spacing w:line="440" w:lineRule="exact"/>
        <w:ind w:firstLine="420"/>
        <w:rPr>
          <w:rFonts w:ascii="Times New Roman" w:hAnsi="Times New Roman" w:cs="Times New Roman"/>
        </w:rPr>
      </w:pPr>
      <w:bookmarkStart w:id="80" w:name="_Toc14207_WPSOffice_Level2"/>
      <w:bookmarkStart w:id="81" w:name="_Toc32316_WPSOffice_Level2"/>
      <w:bookmarkStart w:id="82" w:name="_Toc14464_WPSOffice_Level2"/>
      <w:r>
        <w:rPr>
          <w:rFonts w:ascii="Times New Roman" w:hAnsi="Times New Roman" w:cs="Times New Roman"/>
        </w:rPr>
        <w:t>（四）询比评审工作</w:t>
      </w:r>
      <w:bookmarkEnd w:id="80"/>
      <w:bookmarkEnd w:id="81"/>
      <w:bookmarkEnd w:id="82"/>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3" w:name="_Toc5114_WPSOffice_Level2"/>
      <w:bookmarkStart w:id="84" w:name="_Toc3913_WPSOffice_Level2"/>
      <w:bookmarkStart w:id="85" w:name="_Toc13397_WPSOffice_Level2"/>
      <w:r>
        <w:rPr>
          <w:rFonts w:ascii="Times New Roman" w:hAnsi="Times New Roman" w:cs="Times New Roman"/>
        </w:rPr>
        <w:t>（五）需要说明的其他事项</w:t>
      </w:r>
      <w:bookmarkEnd w:id="83"/>
      <w:bookmarkEnd w:id="84"/>
      <w:bookmarkEnd w:id="85"/>
    </w:p>
    <w:p>
      <w:pPr>
        <w:spacing w:line="440" w:lineRule="exact"/>
        <w:ind w:firstLine="420"/>
        <w:rPr>
          <w:rFonts w:ascii="Times New Roman" w:hAnsi="Times New Roman" w:cs="Times New Roman"/>
        </w:rPr>
      </w:pPr>
      <w:bookmarkStart w:id="86" w:name="_Toc8934_WPSOffice_Level2"/>
      <w:bookmarkStart w:id="87" w:name="_Toc23800_WPSOffice_Level2"/>
      <w:bookmarkStart w:id="88" w:name="_Toc3031_WPSOffice_Level2"/>
      <w:r>
        <w:rPr>
          <w:rFonts w:ascii="Times New Roman" w:hAnsi="Times New Roman" w:cs="Times New Roman"/>
        </w:rPr>
        <w:t>（六）评审附表</w:t>
      </w:r>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1、响应文件</w:t>
      </w:r>
      <w:r>
        <w:rPr>
          <w:rFonts w:hint="eastAsia" w:ascii="Times New Roman" w:hAnsi="Times New Roman" w:cs="Times New Roman"/>
        </w:rPr>
        <w:t>签到</w:t>
      </w:r>
      <w:r>
        <w:rPr>
          <w:rFonts w:ascii="Times New Roman" w:hAnsi="Times New Roman" w:cs="Times New Roman"/>
        </w:rPr>
        <w:t>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4"/>
        <w:numPr>
          <w:ilvl w:val="0"/>
          <w:numId w:val="3"/>
        </w:numPr>
        <w:spacing w:before="312" w:after="312"/>
        <w:rPr>
          <w:rFonts w:ascii="Times New Roman" w:hAnsi="Times New Roman" w:eastAsia="宋体" w:cs="Times New Roman"/>
        </w:rPr>
      </w:pPr>
      <w:bookmarkStart w:id="89" w:name="_Toc10990_WPSOffice_Level1"/>
      <w:r>
        <w:rPr>
          <w:rFonts w:ascii="Times New Roman" w:hAnsi="Times New Roman" w:eastAsia="宋体" w:cs="Times New Roman"/>
        </w:rPr>
        <w:t>合同内容</w:t>
      </w:r>
      <w:bookmarkEnd w:id="89"/>
    </w:p>
    <w:p>
      <w:pPr>
        <w:ind w:firstLine="7140" w:firstLineChars="3400"/>
      </w:pPr>
      <w:r>
        <w:rPr>
          <w:rFonts w:hint="eastAsia"/>
        </w:rPr>
        <w:t>合同号：</w:t>
      </w:r>
    </w:p>
    <w:p>
      <w:pPr>
        <w:ind w:firstLine="3200" w:firstLineChars="1000"/>
        <w:rPr>
          <w:rFonts w:ascii="Times New Roman" w:hAnsi="Times New Roman" w:eastAsia="黑体" w:cs="Times New Roman"/>
          <w:sz w:val="32"/>
          <w:szCs w:val="32"/>
        </w:rPr>
      </w:pPr>
      <w:bookmarkStart w:id="90" w:name="_bookmark259"/>
      <w:bookmarkEnd w:id="90"/>
      <w:bookmarkStart w:id="91" w:name="_Toc501460622"/>
      <w:r>
        <w:rPr>
          <w:rFonts w:hint="eastAsia" w:ascii="Times New Roman" w:hAnsi="Times New Roman" w:eastAsia="黑体" w:cs="Times New Roman"/>
          <w:sz w:val="32"/>
          <w:szCs w:val="32"/>
        </w:rPr>
        <w:t>货物采购</w:t>
      </w:r>
      <w:r>
        <w:rPr>
          <w:rFonts w:ascii="Times New Roman" w:hAnsi="Times New Roman" w:eastAsia="黑体" w:cs="Times New Roman"/>
          <w:sz w:val="32"/>
          <w:szCs w:val="32"/>
        </w:rPr>
        <w:t>类合同</w:t>
      </w:r>
      <w:r>
        <w:rPr>
          <w:rFonts w:hint="eastAsia" w:ascii="Times New Roman" w:hAnsi="Times New Roman" w:eastAsia="黑体" w:cs="Times New Roman"/>
          <w:sz w:val="32"/>
          <w:szCs w:val="32"/>
        </w:rPr>
        <w:t xml:space="preserve">       </w:t>
      </w:r>
    </w:p>
    <w:p>
      <w:pPr>
        <w:spacing w:line="360" w:lineRule="auto"/>
        <w:contextualSpacing/>
        <w:rPr>
          <w:rFonts w:ascii="宋体" w:hAnsi="宋体" w:eastAsia="宋体" w:cs="Times New Roman"/>
          <w:sz w:val="24"/>
        </w:rPr>
      </w:pPr>
      <w:r>
        <w:rPr>
          <w:rFonts w:ascii="宋体" w:hAnsi="宋体" w:eastAsia="宋体" w:cs="Times New Roman"/>
          <w:sz w:val="24"/>
        </w:rPr>
        <w:t>甲方：</w:t>
      </w:r>
      <w:r>
        <w:rPr>
          <w:rFonts w:hint="eastAsia" w:ascii="宋体" w:hAnsi="宋体" w:eastAsia="宋体" w:cs="Times New Roman"/>
          <w:sz w:val="24"/>
        </w:rPr>
        <w:t>安徽交运集团汽车销售有限公司</w:t>
      </w:r>
    </w:p>
    <w:p>
      <w:pPr>
        <w:spacing w:line="360" w:lineRule="auto"/>
        <w:contextualSpacing/>
        <w:rPr>
          <w:rFonts w:ascii="宋体" w:hAnsi="宋体" w:eastAsia="宋体" w:cs="Times New Roman"/>
          <w:sz w:val="24"/>
        </w:rPr>
      </w:pPr>
      <w:r>
        <w:rPr>
          <w:rFonts w:ascii="宋体" w:hAnsi="宋体" w:eastAsia="宋体" w:cs="Times New Roman"/>
          <w:sz w:val="24"/>
        </w:rPr>
        <w:t>乙方：</w:t>
      </w:r>
    </w:p>
    <w:p>
      <w:pPr>
        <w:spacing w:line="360" w:lineRule="auto"/>
        <w:contextualSpacing/>
        <w:rPr>
          <w:rFonts w:ascii="宋体" w:hAnsi="宋体" w:eastAsia="宋体" w:cs="Times New Roman"/>
          <w:sz w:val="24"/>
        </w:rPr>
      </w:pP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根据《中华人民共和国民法典》及相关法律法规的规定，甲乙双方在平等、自愿、公平、协商一致的基础上，</w:t>
      </w:r>
      <w:r>
        <w:rPr>
          <w:rFonts w:hint="eastAsia" w:ascii="宋体" w:hAnsi="宋体" w:eastAsia="宋体" w:cs="Times New Roman"/>
          <w:sz w:val="24"/>
        </w:rPr>
        <w:t>甲乙</w:t>
      </w:r>
      <w:r>
        <w:rPr>
          <w:rFonts w:ascii="宋体" w:hAnsi="宋体" w:eastAsia="宋体" w:cs="Times New Roman"/>
          <w:sz w:val="24"/>
        </w:rPr>
        <w:t>双方就提供</w:t>
      </w:r>
      <w:r>
        <w:rPr>
          <w:rFonts w:hint="eastAsia" w:ascii="宋体" w:hAnsi="宋体" w:eastAsia="宋体" w:cs="Times New Roman"/>
          <w:sz w:val="24"/>
          <w:u w:val="single"/>
        </w:rPr>
        <w:t xml:space="preserve">     </w:t>
      </w:r>
      <w:r>
        <w:rPr>
          <w:rFonts w:hint="eastAsia" w:ascii="宋体" w:hAnsi="宋体" w:eastAsia="宋体" w:cs="Times New Roman"/>
          <w:sz w:val="24"/>
        </w:rPr>
        <w:t>供货服务</w:t>
      </w:r>
      <w:r>
        <w:rPr>
          <w:rFonts w:ascii="宋体" w:hAnsi="宋体" w:eastAsia="宋体" w:cs="Times New Roman"/>
          <w:sz w:val="24"/>
        </w:rPr>
        <w:t>的有关事宜达成如下协议：</w:t>
      </w:r>
    </w:p>
    <w:p>
      <w:pPr>
        <w:spacing w:line="360" w:lineRule="auto"/>
        <w:ind w:firstLine="482" w:firstLineChars="200"/>
        <w:contextualSpacing/>
        <w:rPr>
          <w:rFonts w:ascii="宋体" w:hAnsi="宋体" w:eastAsia="宋体" w:cs="Times New Roman"/>
          <w:b/>
          <w:bCs/>
          <w:sz w:val="24"/>
        </w:rPr>
      </w:pPr>
      <w:r>
        <w:rPr>
          <w:rFonts w:ascii="宋体" w:hAnsi="宋体" w:eastAsia="宋体" w:cs="Times New Roman"/>
          <w:b/>
          <w:bCs/>
          <w:sz w:val="24"/>
        </w:rPr>
        <w:t>1.</w:t>
      </w:r>
      <w:r>
        <w:rPr>
          <w:rFonts w:hint="eastAsia" w:ascii="宋体" w:hAnsi="宋体" w:eastAsia="宋体" w:cs="Times New Roman"/>
          <w:b/>
          <w:bCs/>
          <w:sz w:val="24"/>
        </w:rPr>
        <w:t>货物采购</w:t>
      </w:r>
      <w:r>
        <w:rPr>
          <w:rFonts w:ascii="宋体" w:hAnsi="宋体" w:eastAsia="宋体" w:cs="Times New Roman"/>
          <w:b/>
          <w:bCs/>
          <w:sz w:val="24"/>
        </w:rPr>
        <w:t>内容</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w:t>
      </w:r>
      <w:r>
        <w:rPr>
          <w:rFonts w:ascii="宋体" w:hAnsi="宋体" w:eastAsia="宋体" w:cs="Times New Roman"/>
          <w:sz w:val="24"/>
        </w:rPr>
        <w:t>甲方要求乙方提供</w:t>
      </w:r>
      <w:r>
        <w:rPr>
          <w:rFonts w:hint="eastAsia" w:ascii="宋体" w:hAnsi="宋体" w:eastAsia="宋体" w:cs="Times New Roman"/>
          <w:sz w:val="24"/>
        </w:rPr>
        <w:t>的货物类别、品牌型号、数量和价格如下表</w:t>
      </w:r>
      <w:r>
        <w:rPr>
          <w:rFonts w:ascii="宋体" w:hAnsi="宋体" w:eastAsia="宋体" w:cs="Times New Roman"/>
          <w:sz w:val="24"/>
        </w:rPr>
        <w:t>。</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56"/>
        <w:gridCol w:w="2551"/>
        <w:gridCol w:w="851"/>
        <w:gridCol w:w="708"/>
        <w:gridCol w:w="120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pPr>
              <w:spacing w:line="360" w:lineRule="auto"/>
              <w:contextualSpacing/>
              <w:jc w:val="center"/>
              <w:outlineLvl w:val="0"/>
              <w:rPr>
                <w:rFonts w:ascii="宋体" w:hAnsi="宋体" w:eastAsia="宋体" w:cs="Times New Roman"/>
                <w:bCs/>
                <w:kern w:val="0"/>
                <w:sz w:val="24"/>
              </w:rPr>
            </w:pPr>
            <w:bookmarkStart w:id="92" w:name="_Toc76549531"/>
            <w:bookmarkStart w:id="93" w:name="_Toc76743051"/>
            <w:bookmarkStart w:id="94" w:name="_Toc76558973"/>
            <w:r>
              <w:rPr>
                <w:rFonts w:hint="eastAsia" w:ascii="宋体" w:hAnsi="宋体" w:eastAsia="宋体" w:cs="Times New Roman"/>
                <w:kern w:val="0"/>
                <w:sz w:val="24"/>
              </w:rPr>
              <w:t>序号</w:t>
            </w:r>
            <w:bookmarkEnd w:id="92"/>
            <w:bookmarkEnd w:id="93"/>
            <w:bookmarkEnd w:id="94"/>
          </w:p>
        </w:tc>
        <w:tc>
          <w:tcPr>
            <w:tcW w:w="1456" w:type="dxa"/>
            <w:vAlign w:val="center"/>
          </w:tcPr>
          <w:p>
            <w:pPr>
              <w:spacing w:line="360" w:lineRule="auto"/>
              <w:contextualSpacing/>
              <w:jc w:val="center"/>
              <w:outlineLvl w:val="0"/>
              <w:rPr>
                <w:rFonts w:ascii="宋体" w:hAnsi="宋体" w:eastAsia="宋体" w:cs="Times New Roman"/>
                <w:bCs/>
                <w:kern w:val="0"/>
                <w:sz w:val="24"/>
              </w:rPr>
            </w:pPr>
            <w:bookmarkStart w:id="95" w:name="_Toc76558974"/>
            <w:bookmarkStart w:id="96" w:name="_Toc76549532"/>
            <w:bookmarkStart w:id="97" w:name="_Toc76743052"/>
            <w:r>
              <w:rPr>
                <w:rFonts w:hint="eastAsia" w:ascii="宋体" w:hAnsi="宋体" w:eastAsia="宋体" w:cs="Times New Roman"/>
                <w:kern w:val="0"/>
                <w:sz w:val="24"/>
              </w:rPr>
              <w:t>名称</w:t>
            </w:r>
            <w:bookmarkEnd w:id="95"/>
            <w:bookmarkEnd w:id="96"/>
            <w:bookmarkEnd w:id="97"/>
          </w:p>
        </w:tc>
        <w:tc>
          <w:tcPr>
            <w:tcW w:w="2551" w:type="dxa"/>
            <w:vAlign w:val="center"/>
          </w:tcPr>
          <w:p>
            <w:pPr>
              <w:spacing w:line="360" w:lineRule="auto"/>
              <w:contextualSpacing/>
              <w:jc w:val="center"/>
              <w:outlineLvl w:val="0"/>
              <w:rPr>
                <w:rFonts w:ascii="宋体" w:hAnsi="宋体" w:eastAsia="宋体" w:cs="Times New Roman"/>
                <w:bCs/>
                <w:kern w:val="0"/>
                <w:sz w:val="24"/>
              </w:rPr>
            </w:pPr>
            <w:bookmarkStart w:id="98" w:name="_Toc76558975"/>
            <w:bookmarkStart w:id="99" w:name="_Toc76743053"/>
            <w:bookmarkStart w:id="100" w:name="_Toc76549533"/>
            <w:r>
              <w:rPr>
                <w:rFonts w:hint="eastAsia" w:ascii="宋体" w:hAnsi="宋体" w:eastAsia="宋体" w:cs="Times New Roman"/>
                <w:kern w:val="0"/>
                <w:sz w:val="24"/>
              </w:rPr>
              <w:t>品牌型号</w:t>
            </w:r>
            <w:bookmarkEnd w:id="98"/>
            <w:bookmarkEnd w:id="99"/>
            <w:bookmarkEnd w:id="100"/>
          </w:p>
        </w:tc>
        <w:tc>
          <w:tcPr>
            <w:tcW w:w="851" w:type="dxa"/>
            <w:vAlign w:val="center"/>
          </w:tcPr>
          <w:p>
            <w:pPr>
              <w:spacing w:line="360" w:lineRule="auto"/>
              <w:contextualSpacing/>
              <w:jc w:val="center"/>
              <w:outlineLvl w:val="0"/>
              <w:rPr>
                <w:rFonts w:ascii="宋体" w:hAnsi="宋体" w:eastAsia="宋体" w:cs="Times New Roman"/>
                <w:bCs/>
                <w:kern w:val="0"/>
                <w:sz w:val="24"/>
              </w:rPr>
            </w:pPr>
            <w:bookmarkStart w:id="101" w:name="_Toc76549534"/>
            <w:bookmarkStart w:id="102" w:name="_Toc76558976"/>
            <w:bookmarkStart w:id="103" w:name="_Toc76743054"/>
            <w:r>
              <w:rPr>
                <w:rFonts w:hint="eastAsia" w:ascii="宋体" w:hAnsi="宋体" w:eastAsia="宋体" w:cs="Times New Roman"/>
                <w:kern w:val="0"/>
                <w:sz w:val="24"/>
              </w:rPr>
              <w:t>单位</w:t>
            </w:r>
            <w:bookmarkEnd w:id="101"/>
            <w:bookmarkEnd w:id="102"/>
            <w:bookmarkEnd w:id="103"/>
          </w:p>
        </w:tc>
        <w:tc>
          <w:tcPr>
            <w:tcW w:w="708" w:type="dxa"/>
            <w:vAlign w:val="center"/>
          </w:tcPr>
          <w:p>
            <w:pPr>
              <w:spacing w:line="360" w:lineRule="auto"/>
              <w:contextualSpacing/>
              <w:jc w:val="center"/>
              <w:outlineLvl w:val="0"/>
              <w:rPr>
                <w:rFonts w:ascii="宋体" w:hAnsi="宋体" w:eastAsia="宋体" w:cs="Times New Roman"/>
                <w:bCs/>
                <w:kern w:val="0"/>
                <w:sz w:val="24"/>
              </w:rPr>
            </w:pPr>
            <w:bookmarkStart w:id="104" w:name="_Toc76558977"/>
            <w:bookmarkStart w:id="105" w:name="_Toc76549535"/>
            <w:bookmarkStart w:id="106" w:name="_Toc76743055"/>
            <w:r>
              <w:rPr>
                <w:rFonts w:hint="eastAsia" w:ascii="宋体" w:hAnsi="宋体" w:eastAsia="宋体" w:cs="Times New Roman"/>
                <w:kern w:val="0"/>
                <w:sz w:val="24"/>
              </w:rPr>
              <w:t>数量</w:t>
            </w:r>
            <w:bookmarkEnd w:id="104"/>
            <w:bookmarkEnd w:id="105"/>
            <w:bookmarkEnd w:id="106"/>
          </w:p>
        </w:tc>
        <w:tc>
          <w:tcPr>
            <w:tcW w:w="1201" w:type="dxa"/>
            <w:vAlign w:val="center"/>
          </w:tcPr>
          <w:p>
            <w:pPr>
              <w:spacing w:line="360" w:lineRule="auto"/>
              <w:contextualSpacing/>
              <w:jc w:val="center"/>
              <w:outlineLvl w:val="0"/>
              <w:rPr>
                <w:rFonts w:ascii="宋体" w:hAnsi="宋体" w:eastAsia="宋体" w:cs="Times New Roman"/>
                <w:bCs/>
                <w:kern w:val="0"/>
                <w:sz w:val="24"/>
              </w:rPr>
            </w:pPr>
            <w:bookmarkStart w:id="107" w:name="_Toc76743056"/>
            <w:bookmarkStart w:id="108" w:name="_Toc76549536"/>
            <w:bookmarkStart w:id="109" w:name="_Toc76558978"/>
            <w:r>
              <w:rPr>
                <w:rFonts w:hint="eastAsia" w:ascii="宋体" w:hAnsi="宋体" w:eastAsia="宋体" w:cs="Times New Roman"/>
                <w:kern w:val="0"/>
                <w:sz w:val="24"/>
              </w:rPr>
              <w:t>单价</w:t>
            </w:r>
            <w:bookmarkEnd w:id="107"/>
            <w:bookmarkEnd w:id="108"/>
            <w:bookmarkEnd w:id="109"/>
            <w:r>
              <w:rPr>
                <w:rFonts w:hint="eastAsia" w:ascii="宋体" w:hAnsi="宋体" w:eastAsia="宋体" w:cs="Times New Roman"/>
                <w:kern w:val="0"/>
                <w:sz w:val="24"/>
              </w:rPr>
              <w:t>（元）</w:t>
            </w:r>
          </w:p>
        </w:tc>
        <w:tc>
          <w:tcPr>
            <w:tcW w:w="1238" w:type="dxa"/>
            <w:vAlign w:val="center"/>
          </w:tcPr>
          <w:p>
            <w:pPr>
              <w:spacing w:line="360" w:lineRule="auto"/>
              <w:contextualSpacing/>
              <w:jc w:val="center"/>
              <w:outlineLvl w:val="0"/>
              <w:rPr>
                <w:rFonts w:ascii="宋体" w:hAnsi="宋体" w:eastAsia="宋体" w:cs="Times New Roman"/>
                <w:bCs/>
                <w:kern w:val="0"/>
                <w:sz w:val="24"/>
              </w:rPr>
            </w:pPr>
            <w:bookmarkStart w:id="110" w:name="_Toc76743057"/>
            <w:bookmarkStart w:id="111" w:name="_Toc76558979"/>
            <w:bookmarkStart w:id="112" w:name="_Toc76549537"/>
            <w:r>
              <w:rPr>
                <w:rFonts w:hint="eastAsia" w:ascii="宋体" w:hAnsi="宋体" w:eastAsia="宋体" w:cs="Times New Roman"/>
                <w:kern w:val="0"/>
                <w:sz w:val="24"/>
              </w:rPr>
              <w:t>小计</w:t>
            </w:r>
            <w:bookmarkEnd w:id="110"/>
            <w:bookmarkEnd w:id="111"/>
            <w:bookmarkEnd w:id="112"/>
            <w:r>
              <w:rPr>
                <w:rFonts w:hint="eastAsia" w:ascii="宋体" w:hAnsi="宋体" w:eastAsia="宋体" w:cs="Times New Roman"/>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pPr>
              <w:spacing w:line="360" w:lineRule="auto"/>
              <w:contextualSpacing/>
              <w:jc w:val="center"/>
              <w:outlineLvl w:val="0"/>
              <w:rPr>
                <w:rFonts w:ascii="宋体" w:hAnsi="宋体" w:eastAsia="宋体" w:cs="Times New Roman"/>
                <w:bCs/>
                <w:kern w:val="0"/>
                <w:sz w:val="24"/>
              </w:rPr>
            </w:pPr>
            <w:bookmarkStart w:id="113" w:name="_Toc76743058"/>
            <w:bookmarkStart w:id="114" w:name="_Toc76549538"/>
            <w:bookmarkStart w:id="115" w:name="_Toc76558980"/>
            <w:r>
              <w:rPr>
                <w:rFonts w:hint="eastAsia" w:ascii="宋体" w:hAnsi="宋体" w:eastAsia="宋体" w:cs="宋体"/>
                <w:kern w:val="0"/>
                <w:sz w:val="24"/>
              </w:rPr>
              <w:t>1</w:t>
            </w:r>
            <w:bookmarkEnd w:id="113"/>
            <w:bookmarkEnd w:id="114"/>
            <w:bookmarkEnd w:id="115"/>
          </w:p>
        </w:tc>
        <w:tc>
          <w:tcPr>
            <w:tcW w:w="1456" w:type="dxa"/>
            <w:vAlign w:val="center"/>
          </w:tcPr>
          <w:p>
            <w:pPr>
              <w:spacing w:line="360" w:lineRule="auto"/>
              <w:contextualSpacing/>
              <w:jc w:val="center"/>
              <w:outlineLvl w:val="0"/>
              <w:rPr>
                <w:rFonts w:ascii="宋体" w:hAnsi="宋体" w:eastAsia="宋体" w:cs="Times New Roman"/>
                <w:bCs/>
                <w:kern w:val="0"/>
                <w:sz w:val="24"/>
              </w:rPr>
            </w:pPr>
          </w:p>
        </w:tc>
        <w:tc>
          <w:tcPr>
            <w:tcW w:w="2551" w:type="dxa"/>
            <w:vAlign w:val="center"/>
          </w:tcPr>
          <w:p>
            <w:pPr>
              <w:widowControl/>
              <w:spacing w:line="360" w:lineRule="auto"/>
              <w:contextualSpacing/>
              <w:jc w:val="center"/>
              <w:rPr>
                <w:rFonts w:ascii="宋体" w:hAnsi="宋体" w:eastAsia="宋体" w:cs="宋体"/>
                <w:sz w:val="24"/>
              </w:rPr>
            </w:pPr>
          </w:p>
        </w:tc>
        <w:tc>
          <w:tcPr>
            <w:tcW w:w="851" w:type="dxa"/>
            <w:vAlign w:val="center"/>
          </w:tcPr>
          <w:p>
            <w:pPr>
              <w:spacing w:line="360" w:lineRule="auto"/>
              <w:contextualSpacing/>
              <w:jc w:val="center"/>
              <w:outlineLvl w:val="0"/>
              <w:rPr>
                <w:rFonts w:ascii="宋体" w:hAnsi="宋体" w:eastAsia="宋体" w:cs="Times New Roman"/>
                <w:bCs/>
                <w:kern w:val="0"/>
                <w:sz w:val="24"/>
              </w:rPr>
            </w:pPr>
          </w:p>
        </w:tc>
        <w:tc>
          <w:tcPr>
            <w:tcW w:w="708" w:type="dxa"/>
            <w:vAlign w:val="center"/>
          </w:tcPr>
          <w:p>
            <w:pPr>
              <w:spacing w:line="360" w:lineRule="auto"/>
              <w:contextualSpacing/>
              <w:jc w:val="center"/>
              <w:outlineLvl w:val="0"/>
              <w:rPr>
                <w:rFonts w:ascii="宋体" w:hAnsi="宋体" w:eastAsia="宋体" w:cs="Times New Roman"/>
                <w:bCs/>
                <w:kern w:val="0"/>
                <w:sz w:val="24"/>
              </w:rPr>
            </w:pPr>
          </w:p>
        </w:tc>
        <w:tc>
          <w:tcPr>
            <w:tcW w:w="1201" w:type="dxa"/>
            <w:vAlign w:val="center"/>
          </w:tcPr>
          <w:p>
            <w:pPr>
              <w:spacing w:line="360" w:lineRule="auto"/>
              <w:contextualSpacing/>
              <w:jc w:val="center"/>
              <w:rPr>
                <w:rFonts w:ascii="宋体" w:hAnsi="宋体" w:eastAsia="宋体" w:cs="Times New Roman"/>
                <w:bCs/>
                <w:kern w:val="0"/>
                <w:sz w:val="24"/>
              </w:rPr>
            </w:pPr>
          </w:p>
        </w:tc>
        <w:tc>
          <w:tcPr>
            <w:tcW w:w="1238" w:type="dxa"/>
            <w:vAlign w:val="center"/>
          </w:tcPr>
          <w:p>
            <w:pPr>
              <w:spacing w:line="360" w:lineRule="auto"/>
              <w:contextualSpacing/>
              <w:jc w:val="center"/>
              <w:rPr>
                <w:rFonts w:ascii="宋体" w:hAnsi="宋体"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pPr>
              <w:spacing w:line="360" w:lineRule="auto"/>
              <w:contextualSpacing/>
              <w:jc w:val="center"/>
              <w:outlineLvl w:val="0"/>
              <w:rPr>
                <w:rFonts w:ascii="宋体" w:hAnsi="宋体" w:eastAsia="宋体" w:cs="宋体"/>
                <w:kern w:val="0"/>
                <w:sz w:val="24"/>
              </w:rPr>
            </w:pPr>
            <w:bookmarkStart w:id="116" w:name="_Toc76559001"/>
            <w:bookmarkStart w:id="117" w:name="_Toc76743079"/>
            <w:bookmarkStart w:id="118" w:name="_Toc76549559"/>
            <w:r>
              <w:rPr>
                <w:rFonts w:hint="eastAsia" w:ascii="宋体" w:hAnsi="宋体" w:eastAsia="宋体" w:cs="宋体"/>
                <w:kern w:val="0"/>
                <w:sz w:val="24"/>
              </w:rPr>
              <w:t>2</w:t>
            </w:r>
          </w:p>
        </w:tc>
        <w:tc>
          <w:tcPr>
            <w:tcW w:w="1456" w:type="dxa"/>
            <w:vAlign w:val="center"/>
          </w:tcPr>
          <w:p>
            <w:pPr>
              <w:spacing w:line="360" w:lineRule="auto"/>
              <w:contextualSpacing/>
              <w:jc w:val="center"/>
              <w:outlineLvl w:val="0"/>
              <w:rPr>
                <w:rFonts w:ascii="宋体" w:hAnsi="宋体" w:eastAsia="宋体" w:cs="Times New Roman"/>
                <w:bCs/>
                <w:kern w:val="0"/>
                <w:sz w:val="24"/>
              </w:rPr>
            </w:pPr>
          </w:p>
        </w:tc>
        <w:tc>
          <w:tcPr>
            <w:tcW w:w="2551" w:type="dxa"/>
            <w:vAlign w:val="center"/>
          </w:tcPr>
          <w:p>
            <w:pPr>
              <w:widowControl/>
              <w:spacing w:line="360" w:lineRule="auto"/>
              <w:contextualSpacing/>
              <w:jc w:val="center"/>
              <w:rPr>
                <w:rFonts w:ascii="宋体" w:hAnsi="宋体" w:eastAsia="宋体" w:cs="Times New Roman"/>
                <w:kern w:val="0"/>
                <w:sz w:val="24"/>
              </w:rPr>
            </w:pPr>
          </w:p>
        </w:tc>
        <w:tc>
          <w:tcPr>
            <w:tcW w:w="851" w:type="dxa"/>
            <w:vAlign w:val="center"/>
          </w:tcPr>
          <w:p>
            <w:pPr>
              <w:spacing w:line="360" w:lineRule="auto"/>
              <w:contextualSpacing/>
              <w:jc w:val="center"/>
              <w:outlineLvl w:val="0"/>
              <w:rPr>
                <w:rFonts w:ascii="宋体" w:hAnsi="宋体" w:eastAsia="宋体" w:cs="Times New Roman"/>
                <w:kern w:val="0"/>
                <w:sz w:val="24"/>
              </w:rPr>
            </w:pPr>
          </w:p>
        </w:tc>
        <w:tc>
          <w:tcPr>
            <w:tcW w:w="708" w:type="dxa"/>
            <w:vAlign w:val="center"/>
          </w:tcPr>
          <w:p>
            <w:pPr>
              <w:spacing w:line="360" w:lineRule="auto"/>
              <w:contextualSpacing/>
              <w:jc w:val="center"/>
              <w:outlineLvl w:val="0"/>
              <w:rPr>
                <w:rFonts w:ascii="宋体" w:hAnsi="宋体" w:eastAsia="宋体" w:cs="Times New Roman"/>
                <w:kern w:val="0"/>
                <w:sz w:val="24"/>
              </w:rPr>
            </w:pPr>
          </w:p>
        </w:tc>
        <w:tc>
          <w:tcPr>
            <w:tcW w:w="1201" w:type="dxa"/>
            <w:vAlign w:val="center"/>
          </w:tcPr>
          <w:p>
            <w:pPr>
              <w:spacing w:line="360" w:lineRule="auto"/>
              <w:contextualSpacing/>
              <w:jc w:val="center"/>
              <w:rPr>
                <w:rFonts w:ascii="宋体" w:hAnsi="宋体" w:eastAsia="宋体" w:cs="Times New Roman"/>
                <w:bCs/>
                <w:kern w:val="0"/>
                <w:sz w:val="24"/>
              </w:rPr>
            </w:pPr>
          </w:p>
        </w:tc>
        <w:tc>
          <w:tcPr>
            <w:tcW w:w="1238" w:type="dxa"/>
            <w:vAlign w:val="center"/>
          </w:tcPr>
          <w:p>
            <w:pPr>
              <w:spacing w:line="360" w:lineRule="auto"/>
              <w:contextualSpacing/>
              <w:jc w:val="center"/>
              <w:rPr>
                <w:rFonts w:ascii="宋体" w:hAnsi="宋体"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gridSpan w:val="2"/>
            <w:vAlign w:val="center"/>
          </w:tcPr>
          <w:p>
            <w:pPr>
              <w:spacing w:line="360" w:lineRule="auto"/>
              <w:ind w:firstLine="1200" w:firstLineChars="500"/>
              <w:contextualSpacing/>
              <w:outlineLvl w:val="0"/>
              <w:rPr>
                <w:rFonts w:ascii="宋体" w:hAnsi="宋体" w:eastAsia="宋体" w:cs="Times New Roman"/>
                <w:bCs/>
                <w:kern w:val="0"/>
                <w:sz w:val="24"/>
              </w:rPr>
            </w:pPr>
            <w:r>
              <w:rPr>
                <w:rFonts w:hint="eastAsia" w:ascii="宋体" w:hAnsi="宋体" w:eastAsia="宋体" w:cs="Times New Roman"/>
                <w:kern w:val="0"/>
                <w:sz w:val="24"/>
              </w:rPr>
              <w:t>合计</w:t>
            </w:r>
            <w:bookmarkEnd w:id="116"/>
            <w:bookmarkEnd w:id="117"/>
            <w:bookmarkEnd w:id="118"/>
          </w:p>
        </w:tc>
        <w:tc>
          <w:tcPr>
            <w:tcW w:w="5311" w:type="dxa"/>
            <w:gridSpan w:val="4"/>
            <w:vAlign w:val="center"/>
          </w:tcPr>
          <w:p>
            <w:pPr>
              <w:spacing w:line="360" w:lineRule="auto"/>
              <w:contextualSpacing/>
              <w:outlineLvl w:val="0"/>
              <w:rPr>
                <w:rFonts w:ascii="宋体" w:hAnsi="宋体" w:eastAsia="宋体" w:cs="宋体"/>
                <w:sz w:val="24"/>
              </w:rPr>
            </w:pPr>
            <w:bookmarkStart w:id="119" w:name="_Toc76743080"/>
            <w:bookmarkStart w:id="120" w:name="_Toc76559002"/>
            <w:bookmarkStart w:id="121" w:name="_Toc76549560"/>
            <w:r>
              <w:rPr>
                <w:rFonts w:hint="eastAsia" w:ascii="宋体" w:hAnsi="宋体" w:eastAsia="宋体" w:cs="Times New Roman"/>
                <w:kern w:val="0"/>
                <w:sz w:val="24"/>
              </w:rPr>
              <w:t>大写金额：</w:t>
            </w:r>
            <w:bookmarkEnd w:id="119"/>
            <w:bookmarkEnd w:id="120"/>
            <w:bookmarkEnd w:id="121"/>
            <w:r>
              <w:rPr>
                <w:rFonts w:hint="eastAsia" w:ascii="宋体" w:hAnsi="宋体" w:eastAsia="宋体" w:cs="Times New Roman"/>
                <w:kern w:val="0"/>
                <w:sz w:val="24"/>
              </w:rPr>
              <w:t xml:space="preserve">  </w:t>
            </w:r>
            <w:r>
              <w:rPr>
                <w:rFonts w:hint="eastAsia" w:ascii="宋体" w:hAnsi="宋体" w:eastAsia="宋体" w:cs="宋体"/>
                <w:sz w:val="24"/>
              </w:rPr>
              <w:t>元</w:t>
            </w:r>
          </w:p>
          <w:p>
            <w:pPr>
              <w:spacing w:after="120"/>
              <w:rPr>
                <w:rFonts w:ascii="等线" w:hAnsi="等线" w:eastAsia="宋体" w:cs="Times New Roman"/>
              </w:rPr>
            </w:pPr>
            <w:r>
              <w:rPr>
                <w:rFonts w:hint="eastAsia" w:ascii="宋体" w:hAnsi="宋体" w:eastAsia="宋体" w:cs="宋体"/>
                <w:sz w:val="24"/>
              </w:rPr>
              <w:t>不含税额：      元，增值税额：   元</w:t>
            </w:r>
          </w:p>
        </w:tc>
        <w:tc>
          <w:tcPr>
            <w:tcW w:w="1238" w:type="dxa"/>
            <w:vAlign w:val="center"/>
          </w:tcPr>
          <w:p>
            <w:pPr>
              <w:spacing w:line="360" w:lineRule="auto"/>
              <w:ind w:firstLine="480" w:firstLineChars="200"/>
              <w:contextualSpacing/>
              <w:outlineLvl w:val="0"/>
              <w:rPr>
                <w:rFonts w:ascii="宋体" w:hAnsi="宋体" w:eastAsia="宋体" w:cs="Times New Roman"/>
                <w:kern w:val="0"/>
                <w:sz w:val="24"/>
              </w:rPr>
            </w:pPr>
          </w:p>
        </w:tc>
      </w:tr>
    </w:tbl>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2.</w:t>
      </w:r>
      <w:r>
        <w:rPr>
          <w:rFonts w:ascii="宋体" w:hAnsi="宋体" w:eastAsia="宋体" w:cs="Times New Roman"/>
          <w:b/>
          <w:sz w:val="24"/>
        </w:rPr>
        <w:t>质量要求</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乙方应保证所供货物的技术指标符合国家有关标准及</w:t>
      </w:r>
      <w:r>
        <w:rPr>
          <w:rFonts w:hint="eastAsia" w:ascii="宋体" w:hAnsi="宋体" w:eastAsia="宋体" w:cs="Times New Roman"/>
          <w:sz w:val="24"/>
        </w:rPr>
        <w:t>甲方</w:t>
      </w:r>
      <w:r>
        <w:rPr>
          <w:rFonts w:ascii="宋体" w:hAnsi="宋体" w:eastAsia="宋体" w:cs="Times New Roman"/>
          <w:sz w:val="24"/>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宋体" w:hAnsi="宋体" w:eastAsia="宋体" w:cs="Times New Roman"/>
          <w:sz w:val="24"/>
        </w:rPr>
        <w:t>甲方</w:t>
      </w:r>
      <w:r>
        <w:rPr>
          <w:rFonts w:ascii="宋体" w:hAnsi="宋体" w:eastAsia="宋体" w:cs="Times New Roman"/>
          <w:sz w:val="24"/>
        </w:rPr>
        <w:t>承担三包责任</w:t>
      </w:r>
      <w:r>
        <w:rPr>
          <w:rFonts w:hint="eastAsia" w:ascii="宋体" w:hAnsi="宋体" w:eastAsia="宋体" w:cs="Times New Roman"/>
          <w:sz w:val="24"/>
        </w:rPr>
        <w:t>。</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3.</w:t>
      </w:r>
      <w:r>
        <w:rPr>
          <w:rFonts w:ascii="宋体" w:hAnsi="宋体" w:eastAsia="宋体" w:cs="Times New Roman"/>
          <w:b/>
          <w:sz w:val="24"/>
        </w:rPr>
        <w:t>保修期限</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乙方所供货物的保修期限</w:t>
      </w:r>
      <w:r>
        <w:rPr>
          <w:rFonts w:hint="eastAsia" w:ascii="宋体" w:hAnsi="宋体" w:eastAsia="宋体" w:cs="Times New Roman"/>
          <w:sz w:val="24"/>
        </w:rPr>
        <w:t>为：</w:t>
      </w:r>
      <w:r>
        <w:rPr>
          <w:rFonts w:hint="eastAsia" w:ascii="宋体" w:hAnsi="宋体" w:eastAsia="宋体" w:cs="Times New Roman"/>
          <w:sz w:val="24"/>
          <w:u w:val="single"/>
        </w:rPr>
        <w:t>自甲方验收合格货物之日起计算</w:t>
      </w:r>
      <w:r>
        <w:rPr>
          <w:rFonts w:ascii="宋体" w:hAnsi="宋体" w:eastAsia="宋体" w:cs="Times New Roman"/>
          <w:sz w:val="24"/>
        </w:rPr>
        <w:t>。</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4.交货地点：</w:t>
      </w:r>
      <w:r>
        <w:rPr>
          <w:rFonts w:hint="eastAsia" w:ascii="宋体" w:hAnsi="宋体" w:eastAsia="宋体" w:cs="Times New Roman"/>
          <w:sz w:val="24"/>
          <w:u w:val="single"/>
        </w:rPr>
        <w:t>甲方指定</w:t>
      </w:r>
      <w:r>
        <w:rPr>
          <w:rFonts w:ascii="宋体" w:hAnsi="宋体" w:eastAsia="宋体" w:cs="Times New Roman"/>
          <w:sz w:val="24"/>
        </w:rPr>
        <w:t>。</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5</w:t>
      </w:r>
      <w:r>
        <w:rPr>
          <w:rFonts w:ascii="宋体" w:hAnsi="宋体" w:eastAsia="宋体" w:cs="Times New Roman"/>
          <w:b/>
          <w:bCs/>
          <w:sz w:val="24"/>
        </w:rPr>
        <w:t>.</w:t>
      </w:r>
      <w:r>
        <w:rPr>
          <w:rFonts w:hint="eastAsia" w:ascii="宋体" w:hAnsi="宋体" w:eastAsia="宋体" w:cs="Times New Roman"/>
          <w:b/>
          <w:bCs/>
          <w:sz w:val="24"/>
        </w:rPr>
        <w:t>供货期限</w:t>
      </w:r>
    </w:p>
    <w:p>
      <w:pPr>
        <w:spacing w:line="360" w:lineRule="auto"/>
        <w:ind w:firstLine="480" w:firstLineChars="200"/>
        <w:contextualSpacing/>
        <w:rPr>
          <w:rFonts w:ascii="宋体" w:hAnsi="宋体" w:eastAsia="宋体" w:cs="Times New Roman"/>
          <w:sz w:val="24"/>
          <w:u w:val="single"/>
        </w:rPr>
      </w:pPr>
      <w:r>
        <w:rPr>
          <w:rFonts w:hint="eastAsia" w:ascii="宋体" w:hAnsi="宋体" w:eastAsia="宋体" w:cs="Times New Roman"/>
          <w:sz w:val="24"/>
        </w:rPr>
        <w:t>本项目供货期限为</w:t>
      </w:r>
      <w:r>
        <w:rPr>
          <w:rFonts w:ascii="宋体" w:hAnsi="宋体" w:eastAsia="宋体" w:cs="Times New Roman"/>
          <w:sz w:val="24"/>
        </w:rPr>
        <w:t>：</w:t>
      </w:r>
      <w:r>
        <w:rPr>
          <w:rFonts w:hint="eastAsia" w:ascii="宋体" w:hAnsi="宋体" w:eastAsia="宋体" w:cs="Times New Roman"/>
          <w:sz w:val="24"/>
          <w:u w:val="single"/>
        </w:rPr>
        <w:t>合同签订后10个日历天内</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6.付款方式</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color w:val="333333"/>
          <w:kern w:val="0"/>
          <w:sz w:val="24"/>
        </w:rPr>
        <w:t>6.1 所购车辆送到询价单位指定交付地点经验收合格并开具机动车销售增值税专用发票，</w:t>
      </w:r>
      <w:r>
        <w:rPr>
          <w:rFonts w:hint="eastAsia" w:ascii="宋体" w:hAnsi="宋体" w:eastAsia="宋体" w:cs="宋体"/>
          <w:sz w:val="24"/>
        </w:rPr>
        <w:t>车辆交接验收完成后30个工作日内，按合同约定的价格支付。</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6.2 收款账号</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单位名称：</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开户银行：</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账号：</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7.</w:t>
      </w:r>
      <w:r>
        <w:rPr>
          <w:rFonts w:ascii="宋体" w:hAnsi="宋体" w:eastAsia="宋体" w:cs="Times New Roman"/>
          <w:b/>
          <w:sz w:val="24"/>
        </w:rPr>
        <w:t>权利瑕疵担保</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7.1乙方</w:t>
      </w:r>
      <w:r>
        <w:rPr>
          <w:rFonts w:ascii="宋体" w:hAnsi="宋体" w:eastAsia="宋体" w:cs="Times New Roman"/>
          <w:sz w:val="24"/>
        </w:rPr>
        <w:t>保证对其出售的货物享有合法的权利</w:t>
      </w:r>
      <w:r>
        <w:rPr>
          <w:rFonts w:hint="eastAsia"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7.2乙方</w:t>
      </w:r>
      <w:r>
        <w:rPr>
          <w:rFonts w:ascii="宋体" w:hAnsi="宋体" w:eastAsia="宋体" w:cs="Times New Roman"/>
          <w:sz w:val="24"/>
        </w:rPr>
        <w:t>保证在其出售的货物上不存在任何未曾向对方透露的担保物权，如抵押权</w:t>
      </w:r>
      <w:r>
        <w:rPr>
          <w:rFonts w:hint="eastAsia" w:ascii="宋体" w:hAnsi="宋体" w:eastAsia="宋体" w:cs="Times New Roman"/>
          <w:sz w:val="24"/>
        </w:rPr>
        <w:t>、</w:t>
      </w:r>
      <w:r>
        <w:rPr>
          <w:rFonts w:ascii="宋体" w:hAnsi="宋体" w:eastAsia="宋体" w:cs="Times New Roman"/>
          <w:sz w:val="24"/>
        </w:rPr>
        <w:t>质押权</w:t>
      </w:r>
      <w:r>
        <w:rPr>
          <w:rFonts w:hint="eastAsia" w:ascii="宋体" w:hAnsi="宋体" w:eastAsia="宋体" w:cs="Times New Roman"/>
          <w:sz w:val="24"/>
        </w:rPr>
        <w:t>、</w:t>
      </w:r>
      <w:r>
        <w:rPr>
          <w:rFonts w:ascii="宋体" w:hAnsi="宋体" w:eastAsia="宋体" w:cs="Times New Roman"/>
          <w:sz w:val="24"/>
        </w:rPr>
        <w:t>留置权等。</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7.3乙方</w:t>
      </w:r>
      <w:r>
        <w:rPr>
          <w:rFonts w:ascii="宋体" w:hAnsi="宋体" w:eastAsia="宋体" w:cs="Times New Roman"/>
          <w:sz w:val="24"/>
        </w:rPr>
        <w:t>保证其所出售的货物没有侵犯任何第三人的知识产权和商业秘密等权利。</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7.4</w:t>
      </w:r>
      <w:r>
        <w:rPr>
          <w:rFonts w:ascii="宋体" w:hAnsi="宋体" w:eastAsia="宋体" w:cs="Times New Roman"/>
          <w:sz w:val="24"/>
        </w:rPr>
        <w:t>如</w:t>
      </w:r>
      <w:r>
        <w:rPr>
          <w:rFonts w:hint="eastAsia" w:ascii="宋体" w:hAnsi="宋体" w:eastAsia="宋体" w:cs="Times New Roman"/>
          <w:sz w:val="24"/>
        </w:rPr>
        <w:t>甲方</w:t>
      </w:r>
      <w:r>
        <w:rPr>
          <w:rFonts w:ascii="宋体" w:hAnsi="宋体" w:eastAsia="宋体" w:cs="Times New Roman"/>
          <w:sz w:val="24"/>
        </w:rPr>
        <w:t>使用该货物构成上述侵权的，则</w:t>
      </w:r>
      <w:r>
        <w:rPr>
          <w:rFonts w:hint="eastAsia" w:ascii="宋体" w:hAnsi="宋体" w:eastAsia="宋体" w:cs="Times New Roman"/>
          <w:sz w:val="24"/>
        </w:rPr>
        <w:t>由乙方</w:t>
      </w:r>
      <w:r>
        <w:rPr>
          <w:rFonts w:ascii="宋体" w:hAnsi="宋体" w:eastAsia="宋体" w:cs="Times New Roman"/>
          <w:sz w:val="24"/>
        </w:rPr>
        <w:t>承担全部责任。</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7.5如货物需要</w:t>
      </w:r>
      <w:r>
        <w:rPr>
          <w:rFonts w:ascii="宋体" w:hAnsi="宋体" w:eastAsia="宋体" w:cs="Times New Roman"/>
          <w:sz w:val="24"/>
        </w:rPr>
        <w:t>乙方负责安装</w:t>
      </w:r>
      <w:r>
        <w:rPr>
          <w:rFonts w:hint="eastAsia" w:ascii="宋体" w:hAnsi="宋体" w:eastAsia="宋体" w:cs="Times New Roman"/>
          <w:sz w:val="24"/>
        </w:rPr>
        <w:t>的</w:t>
      </w:r>
      <w:r>
        <w:rPr>
          <w:rFonts w:ascii="宋体" w:hAnsi="宋体" w:eastAsia="宋体" w:cs="Times New Roman"/>
          <w:sz w:val="24"/>
        </w:rPr>
        <w:t>，</w:t>
      </w:r>
      <w:r>
        <w:rPr>
          <w:rFonts w:hint="eastAsia" w:ascii="宋体" w:hAnsi="宋体" w:eastAsia="宋体" w:cs="Times New Roman"/>
          <w:sz w:val="24"/>
        </w:rPr>
        <w:t>乙方</w:t>
      </w:r>
      <w:r>
        <w:rPr>
          <w:rFonts w:ascii="宋体" w:hAnsi="宋体" w:eastAsia="宋体" w:cs="Times New Roman"/>
          <w:sz w:val="24"/>
        </w:rPr>
        <w:t>承担验收合格前发生的安全责任。</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8.</w:t>
      </w:r>
      <w:r>
        <w:rPr>
          <w:rFonts w:ascii="宋体" w:hAnsi="宋体" w:eastAsia="宋体" w:cs="Times New Roman"/>
          <w:b/>
          <w:sz w:val="24"/>
        </w:rPr>
        <w:t>包装规定</w:t>
      </w:r>
    </w:p>
    <w:p>
      <w:pPr>
        <w:spacing w:line="360" w:lineRule="auto"/>
        <w:ind w:firstLine="480" w:firstLineChars="200"/>
        <w:contextualSpacing/>
        <w:rPr>
          <w:rFonts w:ascii="宋体" w:hAnsi="宋体" w:eastAsia="宋体" w:cs="Times New Roman"/>
          <w:sz w:val="24"/>
          <w:u w:val="single"/>
        </w:rPr>
      </w:pPr>
      <w:r>
        <w:rPr>
          <w:rFonts w:hint="eastAsia" w:ascii="宋体" w:hAnsi="宋体" w:eastAsia="宋体" w:cs="Times New Roman"/>
          <w:sz w:val="24"/>
        </w:rPr>
        <w:t>8.1</w:t>
      </w:r>
      <w:r>
        <w:rPr>
          <w:rFonts w:ascii="宋体" w:hAnsi="宋体" w:eastAsia="宋体" w:cs="Times New Roman"/>
          <w:sz w:val="24"/>
        </w:rPr>
        <w:t>包装要求及费用负担：</w:t>
      </w:r>
      <w:r>
        <w:rPr>
          <w:rFonts w:hint="eastAsia" w:ascii="宋体" w:hAnsi="宋体" w:eastAsia="宋体" w:cs="Times New Roman"/>
          <w:sz w:val="24"/>
        </w:rPr>
        <w:t>乙方</w:t>
      </w:r>
      <w:r>
        <w:rPr>
          <w:rFonts w:ascii="宋体" w:hAnsi="宋体" w:eastAsia="宋体" w:cs="Times New Roman"/>
          <w:sz w:val="24"/>
        </w:rPr>
        <w:t>所售的全部货物均应按标准保护措施进行包装，这类包装应适应于远距离运输</w:t>
      </w:r>
      <w:r>
        <w:rPr>
          <w:rFonts w:hint="eastAsia" w:ascii="宋体" w:hAnsi="宋体" w:eastAsia="宋体" w:cs="Times New Roman"/>
          <w:sz w:val="24"/>
        </w:rPr>
        <w:t>，</w:t>
      </w:r>
      <w:r>
        <w:rPr>
          <w:rFonts w:ascii="宋体" w:hAnsi="宋体" w:eastAsia="宋体" w:cs="Times New Roman"/>
          <w:sz w:val="24"/>
        </w:rPr>
        <w:t>防潮，防震，防锈和防野蛮装卸等要求，以确保货物安全无损地运抵</w:t>
      </w:r>
      <w:r>
        <w:rPr>
          <w:rFonts w:hint="eastAsia" w:ascii="宋体" w:hAnsi="宋体" w:eastAsia="宋体" w:cs="Times New Roman"/>
          <w:sz w:val="24"/>
        </w:rPr>
        <w:t>甲方</w:t>
      </w:r>
      <w:r>
        <w:rPr>
          <w:rFonts w:ascii="宋体" w:hAnsi="宋体" w:eastAsia="宋体" w:cs="Times New Roman"/>
          <w:sz w:val="24"/>
        </w:rPr>
        <w:t>指定</w:t>
      </w:r>
      <w:r>
        <w:rPr>
          <w:rFonts w:hint="eastAsia" w:ascii="宋体" w:hAnsi="宋体" w:eastAsia="宋体" w:cs="Times New Roman"/>
          <w:sz w:val="24"/>
        </w:rPr>
        <w:t>地点</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8.2</w:t>
      </w:r>
      <w:r>
        <w:rPr>
          <w:rFonts w:ascii="宋体" w:hAnsi="宋体" w:eastAsia="宋体" w:cs="Times New Roman"/>
          <w:sz w:val="24"/>
        </w:rPr>
        <w:t>每一个包装箱内应附有出标准配置的有关技术，质量，三包等资料。</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9.</w:t>
      </w:r>
      <w:r>
        <w:rPr>
          <w:rFonts w:ascii="宋体" w:hAnsi="宋体" w:eastAsia="宋体" w:cs="Times New Roman"/>
          <w:b/>
          <w:sz w:val="24"/>
        </w:rPr>
        <w:t>验收及安装</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9.1</w:t>
      </w:r>
      <w:r>
        <w:rPr>
          <w:rFonts w:ascii="宋体" w:hAnsi="宋体" w:eastAsia="宋体" w:cs="Times New Roman"/>
          <w:sz w:val="24"/>
        </w:rPr>
        <w:t>由甲方根据货物的技术规格要求和质量标准，对货物进行检查验收。</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9.2</w:t>
      </w:r>
      <w:r>
        <w:rPr>
          <w:rFonts w:ascii="宋体" w:hAnsi="宋体" w:eastAsia="宋体" w:cs="Times New Roman"/>
          <w:sz w:val="24"/>
        </w:rPr>
        <w:t>如检验不满足</w:t>
      </w:r>
      <w:r>
        <w:rPr>
          <w:rFonts w:hint="eastAsia" w:ascii="宋体" w:hAnsi="宋体" w:eastAsia="宋体" w:cs="Times New Roman"/>
          <w:sz w:val="24"/>
        </w:rPr>
        <w:t>采购</w:t>
      </w:r>
      <w:r>
        <w:rPr>
          <w:rFonts w:ascii="宋体" w:hAnsi="宋体" w:eastAsia="宋体" w:cs="Times New Roman"/>
          <w:sz w:val="24"/>
        </w:rPr>
        <w:t>文件要求</w:t>
      </w:r>
      <w:r>
        <w:rPr>
          <w:rFonts w:hint="eastAsia" w:ascii="宋体" w:hAnsi="宋体" w:eastAsia="宋体" w:cs="Times New Roman"/>
          <w:sz w:val="24"/>
        </w:rPr>
        <w:t>或</w:t>
      </w:r>
      <w:r>
        <w:rPr>
          <w:rFonts w:ascii="宋体" w:hAnsi="宋体" w:eastAsia="宋体" w:cs="Times New Roman"/>
          <w:sz w:val="24"/>
        </w:rPr>
        <w:t>不能按照国家标准正常使用，由乙方返工。如再次检验不合格，甲方有权取消合同，</w:t>
      </w:r>
      <w:r>
        <w:rPr>
          <w:rFonts w:hint="eastAsia" w:ascii="宋体" w:hAnsi="宋体" w:eastAsia="宋体" w:cs="Times New Roman"/>
          <w:sz w:val="24"/>
        </w:rPr>
        <w:t>乙方需全额退还货款且承担相应损失</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9.3</w:t>
      </w:r>
      <w:r>
        <w:rPr>
          <w:rFonts w:ascii="宋体" w:hAnsi="宋体" w:eastAsia="宋体" w:cs="Times New Roman"/>
          <w:sz w:val="24"/>
        </w:rPr>
        <w:t>乙方提供的</w:t>
      </w:r>
      <w:r>
        <w:rPr>
          <w:rFonts w:hint="eastAsia" w:ascii="宋体" w:hAnsi="宋体" w:eastAsia="宋体" w:cs="Times New Roman"/>
          <w:sz w:val="24"/>
        </w:rPr>
        <w:t>货物</w:t>
      </w:r>
      <w:r>
        <w:rPr>
          <w:rFonts w:ascii="宋体" w:hAnsi="宋体" w:eastAsia="宋体" w:cs="Times New Roman"/>
          <w:sz w:val="24"/>
        </w:rPr>
        <w:t>，需提供相应的</w:t>
      </w:r>
      <w:r>
        <w:rPr>
          <w:rFonts w:hint="eastAsia" w:ascii="宋体" w:hAnsi="宋体" w:eastAsia="宋体" w:cs="Times New Roman"/>
          <w:sz w:val="24"/>
        </w:rPr>
        <w:t>货物</w:t>
      </w:r>
      <w:r>
        <w:rPr>
          <w:rFonts w:ascii="宋体" w:hAnsi="宋体" w:eastAsia="宋体" w:cs="Times New Roman"/>
          <w:sz w:val="24"/>
        </w:rPr>
        <w:t>质量合格证书和说明书。乙方交货必须严格按照合同约定的产品规格、型号要求，否则甲方有权拒收。收货后发现返修率达到</w:t>
      </w:r>
      <w:r>
        <w:rPr>
          <w:rFonts w:ascii="宋体" w:hAnsi="宋体" w:eastAsia="宋体" w:cs="Times New Roman"/>
          <w:sz w:val="24"/>
          <w:u w:val="single"/>
        </w:rPr>
        <w:t xml:space="preserve"> </w:t>
      </w:r>
      <w:r>
        <w:rPr>
          <w:rFonts w:hint="eastAsia" w:ascii="宋体" w:hAnsi="宋体" w:eastAsia="宋体" w:cs="Times New Roman"/>
          <w:sz w:val="24"/>
          <w:u w:val="single"/>
        </w:rPr>
        <w:t xml:space="preserve"> 10  </w:t>
      </w:r>
      <w:r>
        <w:rPr>
          <w:rFonts w:ascii="宋体" w:hAnsi="宋体" w:eastAsia="宋体" w:cs="Times New Roman"/>
          <w:sz w:val="24"/>
        </w:rPr>
        <w:t>%以上</w:t>
      </w:r>
      <w:r>
        <w:rPr>
          <w:rFonts w:hint="eastAsia" w:ascii="宋体" w:hAnsi="宋体" w:eastAsia="宋体" w:cs="Times New Roman"/>
          <w:sz w:val="24"/>
        </w:rPr>
        <w:t>的</w:t>
      </w:r>
      <w:r>
        <w:rPr>
          <w:rFonts w:ascii="宋体" w:hAnsi="宋体" w:eastAsia="宋体" w:cs="Times New Roman"/>
          <w:sz w:val="24"/>
        </w:rPr>
        <w:t>，甲方有权终止合同，</w:t>
      </w:r>
      <w:r>
        <w:rPr>
          <w:rFonts w:hint="eastAsia" w:ascii="宋体" w:hAnsi="宋体" w:eastAsia="宋体" w:cs="Times New Roman"/>
          <w:sz w:val="24"/>
        </w:rPr>
        <w:t>乙方需全额退还货款且承担相应损失</w:t>
      </w:r>
      <w:r>
        <w:rPr>
          <w:rFonts w:ascii="宋体" w:hAnsi="宋体" w:eastAsia="宋体" w:cs="Times New Roman"/>
          <w:sz w:val="24"/>
        </w:rPr>
        <w:t>。</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10.</w:t>
      </w:r>
      <w:r>
        <w:rPr>
          <w:rFonts w:ascii="宋体" w:hAnsi="宋体" w:eastAsia="宋体" w:cs="Times New Roman"/>
          <w:b/>
          <w:sz w:val="24"/>
        </w:rPr>
        <w:t>售后服务</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10.1</w:t>
      </w:r>
      <w:r>
        <w:rPr>
          <w:rFonts w:ascii="宋体" w:hAnsi="宋体" w:eastAsia="宋体" w:cs="Times New Roman"/>
          <w:sz w:val="24"/>
        </w:rPr>
        <w:t>乙方承诺的售后服务按照</w:t>
      </w:r>
      <w:r>
        <w:rPr>
          <w:rFonts w:hint="eastAsia" w:ascii="宋体" w:hAnsi="宋体" w:eastAsia="宋体" w:cs="Times New Roman"/>
          <w:sz w:val="24"/>
        </w:rPr>
        <w:t>响应文件</w:t>
      </w:r>
      <w:r>
        <w:rPr>
          <w:rFonts w:ascii="宋体" w:hAnsi="宋体" w:eastAsia="宋体" w:cs="Times New Roman"/>
          <w:sz w:val="24"/>
        </w:rPr>
        <w:t>的服务承诺方案实施。</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10.2货物</w:t>
      </w:r>
      <w:r>
        <w:rPr>
          <w:rFonts w:ascii="宋体" w:hAnsi="宋体" w:eastAsia="宋体" w:cs="Times New Roman"/>
          <w:sz w:val="24"/>
        </w:rPr>
        <w:t>售后服务质量技术标准：按国家新“三包”规定执行</w:t>
      </w:r>
      <w:r>
        <w:rPr>
          <w:rFonts w:hint="eastAsia" w:ascii="宋体" w:hAnsi="宋体" w:eastAsia="宋体" w:cs="Times New Roman"/>
          <w:sz w:val="24"/>
        </w:rPr>
        <w:t>，</w:t>
      </w:r>
      <w:r>
        <w:rPr>
          <w:rFonts w:ascii="宋体" w:hAnsi="宋体" w:eastAsia="宋体" w:cs="Times New Roman"/>
          <w:sz w:val="24"/>
        </w:rPr>
        <w:t>如有质量问题7天内包退，15天内包换。</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10.3货物</w:t>
      </w:r>
      <w:r>
        <w:rPr>
          <w:rFonts w:ascii="宋体" w:hAnsi="宋体" w:eastAsia="宋体" w:cs="Times New Roman"/>
          <w:sz w:val="24"/>
        </w:rPr>
        <w:t>出现产品故障时，售后响应时间为</w:t>
      </w:r>
      <w:r>
        <w:rPr>
          <w:rFonts w:hint="eastAsia" w:ascii="宋体" w:hAnsi="宋体" w:eastAsia="宋体" w:cs="Times New Roman"/>
          <w:sz w:val="24"/>
        </w:rPr>
        <w:t xml:space="preserve">24小时 </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u w:val="single"/>
        </w:rPr>
      </w:pPr>
      <w:r>
        <w:rPr>
          <w:rFonts w:hint="eastAsia" w:ascii="宋体" w:hAnsi="宋体" w:eastAsia="宋体" w:cs="Times New Roman"/>
          <w:sz w:val="24"/>
        </w:rPr>
        <w:t>10.4</w:t>
      </w:r>
      <w:r>
        <w:rPr>
          <w:rFonts w:ascii="宋体" w:hAnsi="宋体" w:eastAsia="宋体" w:cs="Times New Roman"/>
          <w:sz w:val="24"/>
        </w:rPr>
        <w:t>售后服务由乙方全权负责，成立专门售后服务小组，保证提供完善的售后服务。售后联系人：</w:t>
      </w:r>
      <w:r>
        <w:rPr>
          <w:rFonts w:hint="eastAsia" w:ascii="宋体" w:hAnsi="宋体" w:eastAsia="宋体" w:cs="Times New Roman"/>
          <w:sz w:val="24"/>
          <w:u w:val="single"/>
        </w:rPr>
        <w:t xml:space="preserve">     </w:t>
      </w:r>
      <w:r>
        <w:rPr>
          <w:rFonts w:hint="eastAsia" w:ascii="宋体" w:hAnsi="宋体" w:eastAsia="宋体" w:cs="Times New Roman"/>
          <w:sz w:val="24"/>
        </w:rPr>
        <w:t>。</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11.</w:t>
      </w:r>
      <w:r>
        <w:rPr>
          <w:rFonts w:ascii="宋体" w:hAnsi="宋体" w:eastAsia="宋体" w:cs="Times New Roman"/>
          <w:b/>
          <w:sz w:val="24"/>
        </w:rPr>
        <w:t>违约责任</w:t>
      </w:r>
      <w:r>
        <w:rPr>
          <w:rFonts w:hint="eastAsia" w:ascii="宋体" w:hAnsi="宋体" w:eastAsia="宋体" w:cs="Times New Roman"/>
          <w:b/>
          <w:sz w:val="24"/>
        </w:rPr>
        <w:t xml:space="preserve"> </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11.1</w:t>
      </w:r>
      <w:r>
        <w:rPr>
          <w:rFonts w:ascii="宋体" w:hAnsi="宋体" w:eastAsia="宋体" w:cs="Times New Roman"/>
          <w:sz w:val="24"/>
        </w:rPr>
        <w:t>因乙方原因不能按照约定期限交货并完成安装</w:t>
      </w:r>
      <w:r>
        <w:rPr>
          <w:rFonts w:hint="eastAsia" w:ascii="宋体" w:hAnsi="宋体" w:eastAsia="宋体" w:cs="Times New Roman"/>
          <w:sz w:val="24"/>
        </w:rPr>
        <w:t>（如需）</w:t>
      </w:r>
      <w:r>
        <w:rPr>
          <w:rFonts w:ascii="宋体" w:hAnsi="宋体" w:eastAsia="宋体" w:cs="Times New Roman"/>
          <w:sz w:val="24"/>
        </w:rPr>
        <w:t>的，应承担违约责任。即每逾期</w:t>
      </w:r>
      <w:r>
        <w:rPr>
          <w:rFonts w:hint="eastAsia" w:ascii="宋体" w:hAnsi="宋体" w:eastAsia="宋体" w:cs="Times New Roman"/>
          <w:sz w:val="24"/>
        </w:rPr>
        <w:t>十</w:t>
      </w:r>
      <w:r>
        <w:rPr>
          <w:rFonts w:ascii="宋体" w:hAnsi="宋体" w:eastAsia="宋体" w:cs="Times New Roman"/>
          <w:sz w:val="24"/>
        </w:rPr>
        <w:t>天须向甲方支付</w:t>
      </w:r>
      <w:r>
        <w:rPr>
          <w:rFonts w:hint="eastAsia" w:ascii="宋体" w:hAnsi="宋体" w:eastAsia="宋体" w:cs="Times New Roman"/>
          <w:sz w:val="24"/>
        </w:rPr>
        <w:t>逾期货物价款</w:t>
      </w:r>
      <w:r>
        <w:rPr>
          <w:rFonts w:ascii="宋体" w:hAnsi="宋体" w:eastAsia="宋体" w:cs="Times New Roman"/>
          <w:sz w:val="24"/>
          <w:u w:val="single"/>
        </w:rPr>
        <w:t>0.5</w:t>
      </w:r>
      <w:r>
        <w:rPr>
          <w:rFonts w:ascii="宋体" w:hAnsi="宋体" w:eastAsia="宋体" w:cs="Times New Roman"/>
          <w:sz w:val="24"/>
        </w:rPr>
        <w:t>%</w:t>
      </w:r>
      <w:r>
        <w:rPr>
          <w:rFonts w:hint="eastAsia" w:ascii="宋体" w:hAnsi="宋体" w:eastAsia="宋体" w:cs="Times New Roman"/>
          <w:sz w:val="24"/>
        </w:rPr>
        <w:t>的</w:t>
      </w:r>
      <w:r>
        <w:rPr>
          <w:rFonts w:ascii="宋体" w:hAnsi="宋体" w:eastAsia="宋体" w:cs="Times New Roman"/>
          <w:sz w:val="24"/>
        </w:rPr>
        <w:t>违约金，延期超过</w:t>
      </w:r>
      <w:r>
        <w:rPr>
          <w:rFonts w:ascii="宋体" w:hAnsi="宋体" w:eastAsia="宋体" w:cs="Times New Roman"/>
          <w:sz w:val="24"/>
          <w:u w:val="single"/>
        </w:rPr>
        <w:t>30</w:t>
      </w:r>
      <w:r>
        <w:rPr>
          <w:rFonts w:ascii="宋体" w:hAnsi="宋体" w:eastAsia="宋体" w:cs="Times New Roman"/>
          <w:sz w:val="24"/>
        </w:rPr>
        <w:t>日的，甲方将解除合同并要求乙方赔偿逾期损失。</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11.2</w:t>
      </w:r>
      <w:r>
        <w:rPr>
          <w:rFonts w:ascii="宋体" w:hAnsi="宋体" w:eastAsia="宋体" w:cs="Times New Roman"/>
          <w:sz w:val="24"/>
        </w:rPr>
        <w:t>乙方</w:t>
      </w:r>
      <w:r>
        <w:rPr>
          <w:rFonts w:hint="eastAsia" w:ascii="宋体" w:hAnsi="宋体" w:eastAsia="宋体" w:cs="Times New Roman"/>
          <w:sz w:val="24"/>
        </w:rPr>
        <w:t>交付货物</w:t>
      </w:r>
      <w:r>
        <w:rPr>
          <w:rFonts w:ascii="宋体" w:hAnsi="宋体" w:eastAsia="宋体" w:cs="Times New Roman"/>
          <w:sz w:val="24"/>
        </w:rPr>
        <w:t>不符合相关质量标准的，乙方负责包修包换，其中修理三次仍不能正常使用的，乙方同意按退货处理。乙方保修包换设备及退货退款的，应当在</w:t>
      </w:r>
      <w:r>
        <w:rPr>
          <w:rFonts w:hint="eastAsia" w:ascii="宋体" w:hAnsi="宋体" w:eastAsia="宋体" w:cs="Times New Roman"/>
          <w:sz w:val="24"/>
          <w:u w:val="single"/>
        </w:rPr>
        <w:t>30</w:t>
      </w:r>
      <w:r>
        <w:rPr>
          <w:rFonts w:ascii="宋体" w:hAnsi="宋体" w:eastAsia="宋体" w:cs="Times New Roman"/>
          <w:sz w:val="24"/>
        </w:rPr>
        <w:t>日内完成，不能按约定完成的，每天按</w:t>
      </w:r>
      <w:r>
        <w:rPr>
          <w:rFonts w:hint="eastAsia" w:ascii="宋体" w:hAnsi="宋体" w:eastAsia="宋体" w:cs="Times New Roman"/>
          <w:sz w:val="24"/>
        </w:rPr>
        <w:t>相应货物价款</w:t>
      </w:r>
      <w:r>
        <w:rPr>
          <w:rFonts w:ascii="宋体" w:hAnsi="宋体" w:eastAsia="宋体" w:cs="Times New Roman"/>
          <w:sz w:val="24"/>
        </w:rPr>
        <w:t>的</w:t>
      </w:r>
      <w:r>
        <w:rPr>
          <w:rFonts w:ascii="宋体" w:hAnsi="宋体" w:eastAsia="宋体" w:cs="Times New Roman"/>
          <w:sz w:val="24"/>
          <w:u w:val="single"/>
        </w:rPr>
        <w:t>0.</w:t>
      </w:r>
      <w:r>
        <w:rPr>
          <w:rFonts w:hint="eastAsia" w:ascii="宋体" w:hAnsi="宋体" w:eastAsia="宋体" w:cs="Times New Roman"/>
          <w:sz w:val="24"/>
          <w:u w:val="single"/>
        </w:rPr>
        <w:t>5</w:t>
      </w:r>
      <w:r>
        <w:rPr>
          <w:rFonts w:ascii="宋体" w:hAnsi="宋体" w:eastAsia="宋体" w:cs="Times New Roman"/>
          <w:sz w:val="24"/>
        </w:rPr>
        <w:t>%的标准向甲方支付违约金。</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11.3</w:t>
      </w:r>
      <w:r>
        <w:rPr>
          <w:rFonts w:ascii="宋体" w:hAnsi="宋体" w:eastAsia="宋体" w:cs="Times New Roman"/>
          <w:sz w:val="24"/>
        </w:rPr>
        <w:t>乙方</w:t>
      </w:r>
      <w:r>
        <w:rPr>
          <w:rFonts w:hint="eastAsia" w:ascii="宋体" w:hAnsi="宋体" w:eastAsia="宋体" w:cs="Times New Roman"/>
          <w:sz w:val="24"/>
        </w:rPr>
        <w:t>货物运输、</w:t>
      </w:r>
      <w:r>
        <w:rPr>
          <w:rFonts w:ascii="宋体" w:hAnsi="宋体" w:eastAsia="宋体" w:cs="Times New Roman"/>
          <w:sz w:val="24"/>
        </w:rPr>
        <w:t>安装</w:t>
      </w:r>
      <w:r>
        <w:rPr>
          <w:rFonts w:hint="eastAsia" w:ascii="宋体" w:hAnsi="宋体" w:eastAsia="宋体" w:cs="Times New Roman"/>
          <w:sz w:val="24"/>
        </w:rPr>
        <w:t>、调试、试运行等过程中</w:t>
      </w:r>
      <w:r>
        <w:rPr>
          <w:rFonts w:ascii="宋体" w:hAnsi="宋体" w:eastAsia="宋体" w:cs="Times New Roman"/>
          <w:sz w:val="24"/>
        </w:rPr>
        <w:t>对自身或他人造成的任何人身或财产损失，均全部由乙方负责。</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11.4</w:t>
      </w:r>
      <w:r>
        <w:rPr>
          <w:rFonts w:ascii="宋体" w:hAnsi="宋体" w:eastAsia="宋体" w:cs="Times New Roman"/>
          <w:sz w:val="24"/>
        </w:rPr>
        <w:t>乙方所交付货物侵犯第三方权益的，应承担由此给甲方造成的一切损失，并承担一切后果。</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11.5</w:t>
      </w:r>
      <w:r>
        <w:rPr>
          <w:rFonts w:ascii="宋体" w:hAnsi="宋体" w:eastAsia="宋体" w:cs="Times New Roman"/>
          <w:sz w:val="24"/>
        </w:rPr>
        <w:t>若发生其他违约情形，违约方应赔偿由此给对方的损失。如属双方过失，应各自承担相应责任。</w:t>
      </w:r>
    </w:p>
    <w:p>
      <w:pPr>
        <w:spacing w:line="360" w:lineRule="auto"/>
        <w:ind w:firstLine="480" w:firstLineChars="200"/>
        <w:contextualSpacing/>
        <w:rPr>
          <w:rFonts w:ascii="宋体" w:hAnsi="宋体" w:eastAsia="宋体" w:cs="Times New Roman"/>
          <w:bCs/>
          <w:sz w:val="24"/>
        </w:rPr>
      </w:pPr>
      <w:r>
        <w:rPr>
          <w:rFonts w:hint="eastAsia" w:ascii="宋体" w:hAnsi="宋体" w:eastAsia="宋体" w:cs="Times New Roman"/>
          <w:bCs/>
          <w:sz w:val="24"/>
        </w:rPr>
        <w:t>11.6</w:t>
      </w:r>
      <w:r>
        <w:rPr>
          <w:rFonts w:ascii="宋体" w:hAnsi="宋体" w:eastAsia="宋体" w:cs="Times New Roman"/>
          <w:sz w:val="24"/>
        </w:rPr>
        <w:t>乙方</w:t>
      </w:r>
      <w:r>
        <w:rPr>
          <w:rFonts w:ascii="宋体" w:hAnsi="宋体" w:eastAsia="宋体" w:cs="Times New Roman"/>
          <w:bCs/>
          <w:sz w:val="24"/>
        </w:rPr>
        <w:t>必须保证甲方在使用</w:t>
      </w:r>
      <w:r>
        <w:rPr>
          <w:rFonts w:hint="eastAsia" w:ascii="宋体" w:hAnsi="宋体" w:eastAsia="宋体" w:cs="Times New Roman"/>
          <w:bCs/>
          <w:sz w:val="24"/>
        </w:rPr>
        <w:t>乙方</w:t>
      </w:r>
      <w:r>
        <w:rPr>
          <w:rFonts w:ascii="宋体" w:hAnsi="宋体" w:eastAsia="宋体" w:cs="Times New Roman"/>
          <w:bCs/>
          <w:sz w:val="24"/>
        </w:rPr>
        <w:t>提供的货物时</w:t>
      </w:r>
      <w:r>
        <w:rPr>
          <w:rFonts w:hint="eastAsia" w:ascii="宋体" w:hAnsi="宋体" w:eastAsia="宋体" w:cs="Times New Roman"/>
          <w:bCs/>
          <w:sz w:val="24"/>
        </w:rPr>
        <w:t>，</w:t>
      </w:r>
      <w:r>
        <w:rPr>
          <w:rFonts w:ascii="宋体" w:hAnsi="宋体" w:eastAsia="宋体" w:cs="Times New Roman"/>
          <w:bCs/>
          <w:sz w:val="24"/>
        </w:rPr>
        <w:t>不存在任何已知的不合法的情形</w:t>
      </w:r>
      <w:r>
        <w:rPr>
          <w:rFonts w:hint="eastAsia" w:ascii="宋体" w:hAnsi="宋体" w:eastAsia="宋体" w:cs="Times New Roman"/>
          <w:bCs/>
          <w:sz w:val="24"/>
        </w:rPr>
        <w:t>，</w:t>
      </w:r>
      <w:r>
        <w:rPr>
          <w:rFonts w:ascii="宋体" w:hAnsi="宋体" w:eastAsia="宋体" w:cs="Times New Roman"/>
          <w:bCs/>
          <w:sz w:val="24"/>
        </w:rPr>
        <w:t>也不存在已知的与第三方专利权</w:t>
      </w:r>
      <w:r>
        <w:rPr>
          <w:rFonts w:ascii="宋体" w:hAnsi="宋体" w:eastAsia="宋体" w:cs="Times New Roman"/>
          <w:sz w:val="24"/>
        </w:rPr>
        <w:t>、著作权、商标权或工业设计权相关的任何争议</w:t>
      </w:r>
      <w:r>
        <w:rPr>
          <w:rFonts w:hint="eastAsia" w:ascii="宋体" w:hAnsi="宋体" w:eastAsia="宋体" w:cs="Times New Roman"/>
          <w:sz w:val="24"/>
        </w:rPr>
        <w:t>，</w:t>
      </w:r>
      <w:r>
        <w:rPr>
          <w:rFonts w:ascii="宋体" w:hAnsi="宋体" w:eastAsia="宋体" w:cs="Times New Roman"/>
          <w:sz w:val="24"/>
        </w:rPr>
        <w:t>如果有任何因甲方使用乙方提供的货物而提起的侵权指控</w:t>
      </w:r>
      <w:r>
        <w:rPr>
          <w:rFonts w:hint="eastAsia" w:ascii="宋体" w:hAnsi="宋体" w:eastAsia="宋体" w:cs="Times New Roman"/>
          <w:sz w:val="24"/>
        </w:rPr>
        <w:t>，</w:t>
      </w:r>
      <w:r>
        <w:rPr>
          <w:rFonts w:ascii="宋体" w:hAnsi="宋体" w:eastAsia="宋体" w:cs="Times New Roman"/>
          <w:sz w:val="24"/>
        </w:rPr>
        <w:t>乙方依法承担全部责任</w:t>
      </w:r>
      <w:r>
        <w:rPr>
          <w:rFonts w:hint="eastAsia" w:ascii="宋体" w:hAnsi="宋体" w:eastAsia="宋体" w:cs="Times New Roman"/>
          <w:bCs/>
          <w:sz w:val="24"/>
        </w:rPr>
        <w:t>。</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12.</w:t>
      </w:r>
      <w:r>
        <w:rPr>
          <w:rFonts w:ascii="宋体" w:hAnsi="宋体" w:eastAsia="宋体" w:cs="Times New Roman"/>
          <w:b/>
          <w:bCs/>
          <w:sz w:val="24"/>
        </w:rPr>
        <w:t>合同的</w:t>
      </w:r>
      <w:r>
        <w:rPr>
          <w:rFonts w:hint="eastAsia" w:ascii="宋体" w:hAnsi="宋体" w:eastAsia="宋体" w:cs="Times New Roman"/>
          <w:b/>
          <w:bCs/>
          <w:sz w:val="24"/>
        </w:rPr>
        <w:t>变更</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12.1</w:t>
      </w:r>
      <w:r>
        <w:rPr>
          <w:rFonts w:ascii="宋体" w:hAnsi="宋体" w:eastAsia="宋体" w:cs="Times New Roman"/>
          <w:sz w:val="24"/>
        </w:rPr>
        <w:t>在合同履行过程中</w:t>
      </w:r>
      <w:r>
        <w:rPr>
          <w:rFonts w:hint="eastAsia" w:ascii="宋体" w:hAnsi="宋体" w:eastAsia="宋体" w:cs="Times New Roman"/>
          <w:sz w:val="24"/>
        </w:rPr>
        <w:t>，供货价格不随任何因素发生变化。</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12.2</w:t>
      </w:r>
      <w:r>
        <w:rPr>
          <w:rFonts w:ascii="宋体" w:hAnsi="宋体" w:eastAsia="宋体" w:cs="Times New Roman"/>
          <w:sz w:val="24"/>
        </w:rPr>
        <w:t>在合同履行过程中</w:t>
      </w:r>
      <w:r>
        <w:rPr>
          <w:rFonts w:hint="eastAsia" w:ascii="宋体" w:hAnsi="宋体" w:eastAsia="宋体" w:cs="Times New Roman"/>
          <w:sz w:val="24"/>
        </w:rPr>
        <w:t>，</w:t>
      </w:r>
      <w:r>
        <w:rPr>
          <w:rFonts w:ascii="宋体" w:hAnsi="宋体" w:eastAsia="宋体" w:cs="Times New Roman"/>
          <w:sz w:val="24"/>
        </w:rPr>
        <w:t>甲方有</w:t>
      </w:r>
      <w:r>
        <w:rPr>
          <w:rFonts w:hint="eastAsia" w:ascii="宋体" w:hAnsi="宋体" w:eastAsia="宋体" w:cs="Times New Roman"/>
          <w:sz w:val="24"/>
        </w:rPr>
        <w:t>权调整供货数量。如增加或减少供货数量时，甲方应提前</w:t>
      </w:r>
      <w:r>
        <w:rPr>
          <w:rFonts w:ascii="宋体" w:hAnsi="宋体" w:eastAsia="宋体" w:cs="Times New Roman"/>
          <w:sz w:val="24"/>
          <w:u w:val="single"/>
        </w:rPr>
        <w:t>10</w:t>
      </w:r>
      <w:r>
        <w:rPr>
          <w:rFonts w:hint="eastAsia" w:ascii="宋体" w:hAnsi="宋体" w:eastAsia="宋体" w:cs="Times New Roman"/>
          <w:sz w:val="24"/>
        </w:rPr>
        <w:t>日通知乙方。对增加供货数量的，</w:t>
      </w:r>
      <w:r>
        <w:rPr>
          <w:rFonts w:ascii="宋体" w:hAnsi="宋体" w:eastAsia="宋体" w:cs="Times New Roman"/>
          <w:sz w:val="24"/>
        </w:rPr>
        <w:t>乙方</w:t>
      </w:r>
      <w:r>
        <w:rPr>
          <w:rFonts w:hint="eastAsia" w:ascii="宋体" w:hAnsi="宋体" w:eastAsia="宋体" w:cs="Times New Roman"/>
          <w:sz w:val="24"/>
        </w:rPr>
        <w:t>应在</w:t>
      </w:r>
      <w:r>
        <w:rPr>
          <w:rFonts w:ascii="宋体" w:hAnsi="宋体" w:eastAsia="宋体" w:cs="Times New Roman"/>
          <w:sz w:val="24"/>
        </w:rPr>
        <w:t>在接到甲方补单通知后</w:t>
      </w:r>
      <w:r>
        <w:rPr>
          <w:rFonts w:ascii="宋体" w:hAnsi="宋体" w:eastAsia="宋体" w:cs="Times New Roman"/>
          <w:sz w:val="24"/>
          <w:u w:val="single"/>
        </w:rPr>
        <w:t>30</w:t>
      </w:r>
      <w:r>
        <w:rPr>
          <w:rFonts w:ascii="宋体" w:hAnsi="宋体" w:eastAsia="宋体" w:cs="Times New Roman"/>
          <w:sz w:val="24"/>
        </w:rPr>
        <w:t>日内将增加</w:t>
      </w:r>
      <w:r>
        <w:rPr>
          <w:rFonts w:hint="eastAsia" w:ascii="宋体" w:hAnsi="宋体" w:eastAsia="宋体" w:cs="Times New Roman"/>
          <w:sz w:val="24"/>
        </w:rPr>
        <w:t>的货物</w:t>
      </w:r>
      <w:r>
        <w:rPr>
          <w:rFonts w:ascii="宋体" w:hAnsi="宋体" w:eastAsia="宋体" w:cs="Times New Roman"/>
          <w:sz w:val="24"/>
        </w:rPr>
        <w:t>按本合同价格及相关质量要求及时</w:t>
      </w:r>
      <w:r>
        <w:rPr>
          <w:rFonts w:hint="eastAsia" w:ascii="宋体" w:hAnsi="宋体" w:eastAsia="宋体" w:cs="Times New Roman"/>
          <w:sz w:val="24"/>
        </w:rPr>
        <w:t>供</w:t>
      </w:r>
      <w:r>
        <w:rPr>
          <w:rFonts w:ascii="宋体" w:hAnsi="宋体" w:eastAsia="宋体" w:cs="Times New Roman"/>
          <w:sz w:val="24"/>
        </w:rPr>
        <w:t>货到位。</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13.</w:t>
      </w:r>
      <w:r>
        <w:rPr>
          <w:rFonts w:ascii="宋体" w:hAnsi="宋体" w:eastAsia="宋体" w:cs="Times New Roman"/>
          <w:b/>
          <w:bCs/>
          <w:sz w:val="24"/>
        </w:rPr>
        <w:t>不可抗力</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14.</w:t>
      </w:r>
      <w:r>
        <w:rPr>
          <w:rFonts w:ascii="宋体" w:hAnsi="宋体" w:eastAsia="宋体" w:cs="Times New Roman"/>
          <w:b/>
          <w:bCs/>
          <w:sz w:val="24"/>
        </w:rPr>
        <w:t>争议解决方式</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本合同项下所发生的争议，由双方协商解决，协商不成的，双方同意按照依法向人民法院提起诉讼解决。</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15.</w:t>
      </w:r>
      <w:r>
        <w:rPr>
          <w:rFonts w:ascii="宋体" w:hAnsi="宋体" w:eastAsia="宋体" w:cs="Times New Roman"/>
          <w:b/>
          <w:bCs/>
          <w:sz w:val="24"/>
        </w:rPr>
        <w:t>其他条款</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15.1</w:t>
      </w:r>
      <w:r>
        <w:rPr>
          <w:rFonts w:ascii="宋体" w:hAnsi="宋体" w:eastAsia="宋体" w:cs="Times New Roman"/>
          <w:sz w:val="24"/>
        </w:rPr>
        <w:t>本合同自双方</w:t>
      </w:r>
      <w:r>
        <w:rPr>
          <w:rFonts w:hint="eastAsia" w:ascii="宋体" w:hAnsi="宋体" w:eastAsia="宋体" w:cs="Times New Roman"/>
          <w:sz w:val="24"/>
        </w:rPr>
        <w:t>签名</w:t>
      </w:r>
      <w:r>
        <w:rPr>
          <w:rFonts w:ascii="宋体" w:hAnsi="宋体" w:eastAsia="宋体" w:cs="Times New Roman"/>
          <w:sz w:val="24"/>
        </w:rPr>
        <w:t>盖章之日起生效。本合同及附件共</w:t>
      </w:r>
      <w:r>
        <w:rPr>
          <w:rFonts w:ascii="宋体" w:hAnsi="宋体" w:eastAsia="宋体" w:cs="Times New Roman"/>
          <w:sz w:val="24"/>
          <w:u w:val="single"/>
        </w:rPr>
        <w:t>4</w:t>
      </w:r>
      <w:r>
        <w:rPr>
          <w:rFonts w:ascii="宋体" w:hAnsi="宋体" w:eastAsia="宋体" w:cs="Times New Roman"/>
          <w:sz w:val="24"/>
        </w:rPr>
        <w:t>页，一式</w:t>
      </w:r>
      <w:r>
        <w:rPr>
          <w:rFonts w:hint="eastAsia" w:ascii="宋体" w:hAnsi="宋体" w:eastAsia="宋体" w:cs="Times New Roman"/>
          <w:sz w:val="24"/>
          <w:u w:val="single"/>
        </w:rPr>
        <w:t>四</w:t>
      </w:r>
      <w:r>
        <w:rPr>
          <w:rFonts w:ascii="宋体" w:hAnsi="宋体" w:eastAsia="宋体" w:cs="Times New Roman"/>
          <w:sz w:val="24"/>
        </w:rPr>
        <w:t>份，具有同等法律效力，其中甲方</w:t>
      </w:r>
      <w:r>
        <w:rPr>
          <w:rFonts w:hint="eastAsia" w:ascii="宋体" w:hAnsi="宋体" w:eastAsia="宋体" w:cs="Times New Roman"/>
          <w:sz w:val="24"/>
          <w:u w:val="single"/>
        </w:rPr>
        <w:t>贰</w:t>
      </w:r>
      <w:r>
        <w:rPr>
          <w:rFonts w:ascii="宋体" w:hAnsi="宋体" w:eastAsia="宋体" w:cs="Times New Roman"/>
          <w:sz w:val="24"/>
        </w:rPr>
        <w:t>份，乙方</w:t>
      </w:r>
      <w:r>
        <w:rPr>
          <w:rFonts w:hint="eastAsia" w:ascii="宋体" w:hAnsi="宋体" w:eastAsia="宋体" w:cs="Times New Roman"/>
          <w:sz w:val="24"/>
          <w:u w:val="single"/>
        </w:rPr>
        <w:t>贰</w:t>
      </w:r>
      <w:r>
        <w:rPr>
          <w:rFonts w:ascii="宋体" w:hAnsi="宋体" w:eastAsia="宋体" w:cs="Times New Roman"/>
          <w:sz w:val="24"/>
        </w:rPr>
        <w:t>份。</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15.2</w:t>
      </w:r>
      <w:r>
        <w:rPr>
          <w:rFonts w:ascii="宋体" w:hAnsi="宋体" w:eastAsia="宋体" w:cs="Times New Roman"/>
          <w:sz w:val="24"/>
        </w:rPr>
        <w:t>本项目</w:t>
      </w:r>
      <w:r>
        <w:rPr>
          <w:rFonts w:hint="eastAsia" w:ascii="宋体" w:hAnsi="宋体" w:eastAsia="宋体" w:cs="Times New Roman"/>
          <w:sz w:val="24"/>
        </w:rPr>
        <w:t>采购</w:t>
      </w:r>
      <w:r>
        <w:rPr>
          <w:rFonts w:ascii="宋体" w:hAnsi="宋体" w:eastAsia="宋体" w:cs="Times New Roman"/>
          <w:sz w:val="24"/>
        </w:rPr>
        <w:t>文件</w:t>
      </w:r>
      <w:r>
        <w:rPr>
          <w:rFonts w:hint="eastAsia" w:ascii="宋体" w:hAnsi="宋体" w:eastAsia="宋体" w:cs="Times New Roman"/>
          <w:sz w:val="24"/>
        </w:rPr>
        <w:t>、响应</w:t>
      </w:r>
      <w:r>
        <w:rPr>
          <w:rFonts w:ascii="宋体" w:hAnsi="宋体" w:eastAsia="宋体" w:cs="Times New Roman"/>
          <w:sz w:val="24"/>
        </w:rPr>
        <w:t>文件、</w:t>
      </w:r>
      <w:r>
        <w:rPr>
          <w:rFonts w:hint="eastAsia" w:ascii="宋体" w:hAnsi="宋体" w:eastAsia="宋体" w:cs="Times New Roman"/>
          <w:sz w:val="24"/>
        </w:rPr>
        <w:t>成交</w:t>
      </w:r>
      <w:r>
        <w:rPr>
          <w:rFonts w:ascii="宋体" w:hAnsi="宋体" w:eastAsia="宋体" w:cs="Times New Roman"/>
          <w:sz w:val="24"/>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15.3</w:t>
      </w:r>
      <w:r>
        <w:rPr>
          <w:rFonts w:ascii="宋体" w:hAnsi="宋体" w:eastAsia="宋体" w:cs="Times New Roman"/>
          <w:sz w:val="24"/>
        </w:rPr>
        <w:t>本合同未尽事宜，双方可协商签订补充协议，补充协议与本合同具有同等法律效力。</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15.4</w:t>
      </w:r>
      <w:r>
        <w:rPr>
          <w:rFonts w:ascii="宋体" w:hAnsi="宋体" w:eastAsia="宋体" w:cs="Times New Roman"/>
          <w:sz w:val="24"/>
        </w:rPr>
        <w:t>其他约定：</w:t>
      </w:r>
      <w:r>
        <w:rPr>
          <w:rFonts w:hint="eastAsia" w:ascii="宋体" w:hAnsi="宋体" w:eastAsia="宋体" w:cs="Times New Roman"/>
          <w:sz w:val="24"/>
          <w:u w:val="single"/>
        </w:rPr>
        <w:t>无</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甲</w:t>
      </w:r>
      <w:r>
        <w:rPr>
          <w:rFonts w:ascii="宋体" w:hAnsi="宋体" w:eastAsia="宋体" w:cs="Times New Roman"/>
          <w:sz w:val="24"/>
        </w:rPr>
        <w:t>方：</w:t>
      </w:r>
      <w:r>
        <w:rPr>
          <w:rFonts w:hint="eastAsia" w:ascii="宋体" w:hAnsi="宋体" w:eastAsia="宋体" w:cs="Times New Roman"/>
          <w:sz w:val="24"/>
          <w:u w:val="single"/>
        </w:rPr>
        <w:t>安徽交运集团汽车销售有限公司</w:t>
      </w:r>
      <w:r>
        <w:rPr>
          <w:rFonts w:hint="eastAsia" w:ascii="宋体" w:hAnsi="宋体" w:eastAsia="宋体" w:cs="Times New Roman"/>
          <w:sz w:val="24"/>
        </w:rPr>
        <w:t>(</w:t>
      </w:r>
      <w:r>
        <w:rPr>
          <w:rFonts w:ascii="宋体" w:hAnsi="宋体" w:eastAsia="宋体" w:cs="Times New Roman"/>
          <w:sz w:val="24"/>
        </w:rPr>
        <w:t>盖单位章</w:t>
      </w:r>
      <w:r>
        <w:rPr>
          <w:rFonts w:hint="eastAsia"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法定代表人</w:t>
      </w:r>
      <w:r>
        <w:rPr>
          <w:rFonts w:hint="eastAsia" w:ascii="宋体" w:hAnsi="宋体" w:eastAsia="宋体" w:cs="Times New Roman"/>
          <w:sz w:val="24"/>
        </w:rPr>
        <w:t>(</w:t>
      </w:r>
      <w:r>
        <w:rPr>
          <w:rFonts w:ascii="宋体" w:hAnsi="宋体" w:eastAsia="宋体" w:cs="Times New Roman"/>
          <w:sz w:val="24"/>
        </w:rPr>
        <w:t>单位负责人</w:t>
      </w:r>
      <w:r>
        <w:rPr>
          <w:rFonts w:hint="eastAsia" w:ascii="宋体" w:hAnsi="宋体" w:eastAsia="宋体" w:cs="Times New Roman"/>
          <w:sz w:val="24"/>
        </w:rPr>
        <w:t>)</w:t>
      </w:r>
      <w:r>
        <w:rPr>
          <w:rFonts w:ascii="宋体" w:hAnsi="宋体" w:eastAsia="宋体" w:cs="Times New Roman"/>
          <w:sz w:val="24"/>
        </w:rPr>
        <w:t>或其委托代理人：</w:t>
      </w:r>
      <w:r>
        <w:rPr>
          <w:rFonts w:ascii="宋体" w:hAnsi="宋体" w:eastAsia="宋体" w:cs="Times New Roman"/>
          <w:sz w:val="24"/>
          <w:u w:val="single"/>
        </w:rPr>
        <w:t xml:space="preserve">         </w:t>
      </w:r>
      <w:r>
        <w:rPr>
          <w:rFonts w:hint="eastAsia" w:ascii="宋体" w:hAnsi="宋体" w:eastAsia="宋体" w:cs="Times New Roman"/>
          <w:sz w:val="24"/>
        </w:rPr>
        <w:t>(签名)</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u w:val="single"/>
        </w:rPr>
        <w:t xml:space="preserve">       </w:t>
      </w:r>
      <w:r>
        <w:rPr>
          <w:rFonts w:ascii="宋体" w:hAnsi="宋体" w:eastAsia="宋体" w:cs="Times New Roman"/>
          <w:sz w:val="24"/>
        </w:rPr>
        <w:t>年</w:t>
      </w:r>
      <w:r>
        <w:rPr>
          <w:rFonts w:ascii="宋体" w:hAnsi="宋体" w:eastAsia="宋体" w:cs="Times New Roman"/>
          <w:sz w:val="24"/>
          <w:u w:val="single"/>
        </w:rPr>
        <w:t xml:space="preserve">       </w:t>
      </w:r>
      <w:r>
        <w:rPr>
          <w:rFonts w:ascii="宋体" w:hAnsi="宋体" w:eastAsia="宋体" w:cs="Times New Roman"/>
          <w:sz w:val="24"/>
        </w:rPr>
        <w:t>月</w:t>
      </w:r>
      <w:r>
        <w:rPr>
          <w:rFonts w:ascii="宋体" w:hAnsi="宋体" w:eastAsia="宋体" w:cs="Times New Roman"/>
          <w:sz w:val="24"/>
          <w:u w:val="single"/>
        </w:rPr>
        <w:t xml:space="preserve">       </w:t>
      </w:r>
      <w:r>
        <w:rPr>
          <w:rFonts w:ascii="宋体" w:hAnsi="宋体" w:eastAsia="宋体" w:cs="Times New Roman"/>
          <w:sz w:val="24"/>
        </w:rPr>
        <w:t>日</w:t>
      </w:r>
    </w:p>
    <w:p>
      <w:pPr>
        <w:spacing w:line="360" w:lineRule="auto"/>
        <w:ind w:firstLine="480" w:firstLineChars="200"/>
        <w:contextualSpacing/>
        <w:rPr>
          <w:rFonts w:ascii="宋体" w:hAnsi="宋体" w:eastAsia="宋体" w:cs="Times New Roman"/>
          <w:sz w:val="24"/>
        </w:rPr>
      </w:pP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乙</w:t>
      </w:r>
      <w:r>
        <w:rPr>
          <w:rFonts w:ascii="宋体" w:hAnsi="宋体" w:eastAsia="宋体" w:cs="Times New Roman"/>
          <w:sz w:val="24"/>
        </w:rPr>
        <w:t>方：</w:t>
      </w:r>
      <w:r>
        <w:rPr>
          <w:rFonts w:ascii="宋体" w:hAnsi="宋体" w:eastAsia="宋体" w:cs="Times New Roman"/>
          <w:sz w:val="24"/>
          <w:u w:val="single"/>
        </w:rPr>
        <w:t xml:space="preserve">      </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rPr>
        <w:t>(</w:t>
      </w:r>
      <w:r>
        <w:rPr>
          <w:rFonts w:ascii="宋体" w:hAnsi="宋体" w:eastAsia="宋体" w:cs="Times New Roman"/>
          <w:sz w:val="24"/>
        </w:rPr>
        <w:t>盖单位章</w:t>
      </w:r>
      <w:r>
        <w:rPr>
          <w:rFonts w:hint="eastAsia"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法定代表人</w:t>
      </w:r>
      <w:r>
        <w:rPr>
          <w:rFonts w:hint="eastAsia" w:ascii="宋体" w:hAnsi="宋体" w:eastAsia="宋体" w:cs="Times New Roman"/>
          <w:sz w:val="24"/>
        </w:rPr>
        <w:t>(</w:t>
      </w:r>
      <w:r>
        <w:rPr>
          <w:rFonts w:ascii="宋体" w:hAnsi="宋体" w:eastAsia="宋体" w:cs="Times New Roman"/>
          <w:sz w:val="24"/>
        </w:rPr>
        <w:t>单位负责人</w:t>
      </w:r>
      <w:r>
        <w:rPr>
          <w:rFonts w:hint="eastAsia" w:ascii="宋体" w:hAnsi="宋体" w:eastAsia="宋体" w:cs="Times New Roman"/>
          <w:sz w:val="24"/>
        </w:rPr>
        <w:t>)</w:t>
      </w:r>
      <w:r>
        <w:rPr>
          <w:rFonts w:ascii="宋体" w:hAnsi="宋体" w:eastAsia="宋体" w:cs="Times New Roman"/>
          <w:sz w:val="24"/>
        </w:rPr>
        <w:t>或其委托代理人：</w:t>
      </w:r>
      <w:r>
        <w:rPr>
          <w:rFonts w:ascii="宋体" w:hAnsi="宋体" w:eastAsia="宋体" w:cs="Times New Roman"/>
          <w:sz w:val="24"/>
          <w:u w:val="single"/>
        </w:rPr>
        <w:t xml:space="preserve">         </w:t>
      </w:r>
      <w:r>
        <w:rPr>
          <w:rFonts w:hint="eastAsia" w:ascii="宋体" w:hAnsi="宋体" w:eastAsia="宋体" w:cs="Times New Roman"/>
          <w:sz w:val="24"/>
        </w:rPr>
        <w:t>(签名)</w:t>
      </w:r>
    </w:p>
    <w:p>
      <w:pPr>
        <w:spacing w:line="360" w:lineRule="auto"/>
        <w:ind w:firstLine="480" w:firstLineChars="200"/>
        <w:contextualSpacing/>
        <w:rPr>
          <w:rFonts w:ascii="等线" w:hAnsi="等线" w:eastAsia="等线" w:cs="Times New Roman"/>
          <w:szCs w:val="22"/>
        </w:rPr>
      </w:pPr>
      <w:r>
        <w:rPr>
          <w:rFonts w:ascii="宋体" w:hAnsi="宋体" w:eastAsia="宋体" w:cs="Times New Roman"/>
          <w:sz w:val="24"/>
          <w:u w:val="single"/>
        </w:rPr>
        <w:t xml:space="preserve">       </w:t>
      </w:r>
      <w:r>
        <w:rPr>
          <w:rFonts w:ascii="宋体" w:hAnsi="宋体" w:eastAsia="宋体" w:cs="Times New Roman"/>
          <w:sz w:val="24"/>
        </w:rPr>
        <w:t>年</w:t>
      </w:r>
      <w:r>
        <w:rPr>
          <w:rFonts w:ascii="宋体" w:hAnsi="宋体" w:eastAsia="宋体" w:cs="Times New Roman"/>
          <w:sz w:val="24"/>
          <w:u w:val="single"/>
        </w:rPr>
        <w:t xml:space="preserve">       </w:t>
      </w:r>
      <w:r>
        <w:rPr>
          <w:rFonts w:ascii="宋体" w:hAnsi="宋体" w:eastAsia="宋体" w:cs="Times New Roman"/>
          <w:sz w:val="24"/>
        </w:rPr>
        <w:t>月</w:t>
      </w:r>
      <w:r>
        <w:rPr>
          <w:rFonts w:ascii="宋体" w:hAnsi="宋体" w:eastAsia="宋体" w:cs="Times New Roman"/>
          <w:sz w:val="24"/>
          <w:u w:val="single"/>
        </w:rPr>
        <w:t xml:space="preserve">       </w:t>
      </w:r>
      <w:r>
        <w:rPr>
          <w:rFonts w:ascii="宋体" w:hAnsi="宋体" w:eastAsia="宋体" w:cs="Times New Roman"/>
          <w:sz w:val="24"/>
        </w:rPr>
        <w:t>日</w:t>
      </w:r>
    </w:p>
    <w:p>
      <w:pPr>
        <w:spacing w:line="360" w:lineRule="auto"/>
        <w:rPr>
          <w:rFonts w:ascii="Times New Roman" w:hAnsi="Times New Roman" w:cs="Times New Roman"/>
          <w:sz w:val="24"/>
        </w:rPr>
      </w:pPr>
    </w:p>
    <w:p>
      <w:pPr>
        <w:pStyle w:val="2"/>
        <w:ind w:firstLine="240"/>
        <w:rPr>
          <w:rFonts w:ascii="Times New Roman" w:hAnsi="Times New Roman" w:cs="Times New Roman"/>
        </w:rPr>
      </w:pPr>
    </w:p>
    <w:p>
      <w:pPr>
        <w:pStyle w:val="2"/>
        <w:ind w:firstLine="240"/>
        <w:rPr>
          <w:rFonts w:ascii="Times New Roman" w:hAnsi="Times New Roman" w:cs="Times New Roman"/>
        </w:rPr>
      </w:pPr>
    </w:p>
    <w:p>
      <w:pPr>
        <w:pStyle w:val="2"/>
        <w:ind w:firstLine="240"/>
        <w:rPr>
          <w:rFonts w:ascii="Times New Roman" w:hAnsi="Times New Roman" w:cs="Times New Roman"/>
        </w:rPr>
      </w:pPr>
    </w:p>
    <w:p>
      <w:pPr>
        <w:pStyle w:val="2"/>
        <w:ind w:firstLine="240"/>
        <w:rPr>
          <w:rFonts w:ascii="Times New Roman" w:hAnsi="Times New Roman" w:cs="Times New Roman"/>
        </w:rPr>
      </w:pPr>
    </w:p>
    <w:p>
      <w:pPr>
        <w:pStyle w:val="4"/>
        <w:numPr>
          <w:ilvl w:val="0"/>
          <w:numId w:val="3"/>
        </w:numPr>
        <w:spacing w:beforeLines="0" w:afterLines="0" w:line="240" w:lineRule="auto"/>
        <w:ind w:firstLine="0"/>
        <w:rPr>
          <w:rFonts w:ascii="Times New Roman" w:hAnsi="Times New Roman" w:eastAsia="宋体" w:cs="Times New Roman"/>
        </w:rPr>
      </w:pPr>
      <w:bookmarkStart w:id="122" w:name="_Toc21707_WPSOffice_Level1"/>
      <w:r>
        <w:rPr>
          <w:rFonts w:ascii="Times New Roman" w:hAnsi="Times New Roman" w:eastAsia="宋体" w:cs="Times New Roman"/>
        </w:rPr>
        <w:t>采购需求及清单</w:t>
      </w:r>
      <w:bookmarkEnd w:id="122"/>
    </w:p>
    <w:bookmarkEnd w:id="91"/>
    <w:tbl>
      <w:tblPr>
        <w:tblStyle w:val="14"/>
        <w:tblpPr w:leftFromText="180" w:rightFromText="180" w:vertAnchor="page" w:horzAnchor="page" w:tblpX="2190" w:tblpY="2235"/>
        <w:tblOverlap w:val="never"/>
        <w:tblW w:w="8080" w:type="dxa"/>
        <w:tblInd w:w="0" w:type="dxa"/>
        <w:tblLayout w:type="autofit"/>
        <w:tblCellMar>
          <w:top w:w="0" w:type="dxa"/>
          <w:left w:w="108" w:type="dxa"/>
          <w:bottom w:w="0" w:type="dxa"/>
          <w:right w:w="108" w:type="dxa"/>
        </w:tblCellMar>
      </w:tblPr>
      <w:tblGrid>
        <w:gridCol w:w="2091"/>
        <w:gridCol w:w="5989"/>
      </w:tblGrid>
      <w:tr>
        <w:tblPrEx>
          <w:tblCellMar>
            <w:top w:w="0" w:type="dxa"/>
            <w:left w:w="108" w:type="dxa"/>
            <w:bottom w:w="0" w:type="dxa"/>
            <w:right w:w="108" w:type="dxa"/>
          </w:tblCellMar>
        </w:tblPrEx>
        <w:trPr>
          <w:trHeight w:val="617"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大众途观L300龙腾版参数表</w:t>
            </w:r>
          </w:p>
        </w:tc>
      </w:tr>
      <w:tr>
        <w:tblPrEx>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长×宽×高（mm)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4733mm*1839mm*1673mm</w:t>
            </w:r>
          </w:p>
        </w:tc>
      </w:tr>
      <w:tr>
        <w:tblPrEx>
          <w:tblCellMar>
            <w:top w:w="0" w:type="dxa"/>
            <w:left w:w="108" w:type="dxa"/>
            <w:bottom w:w="0" w:type="dxa"/>
            <w:right w:w="108" w:type="dxa"/>
          </w:tblCellMar>
        </w:tblPrEx>
        <w:trPr>
          <w:trHeight w:val="556"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轴距（mm)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2791mm</w:t>
            </w:r>
          </w:p>
        </w:tc>
      </w:tr>
      <w:tr>
        <w:tblPrEx>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排气量和功率</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1.5T 160马力L4</w:t>
            </w:r>
          </w:p>
        </w:tc>
      </w:tr>
      <w:tr>
        <w:tblPrEx>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整备质量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1620kg</w:t>
            </w:r>
          </w:p>
        </w:tc>
      </w:tr>
      <w:tr>
        <w:tblPrEx>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2090kg</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油耗</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6.6L</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燃油标号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95#</w:t>
            </w:r>
          </w:p>
        </w:tc>
      </w:tr>
      <w:tr>
        <w:tblPrEx>
          <w:tblCellMar>
            <w:top w:w="0" w:type="dxa"/>
            <w:left w:w="108" w:type="dxa"/>
            <w:bottom w:w="0" w:type="dxa"/>
            <w:right w:w="108" w:type="dxa"/>
          </w:tblCellMar>
        </w:tblPrEx>
        <w:trPr>
          <w:trHeight w:val="600"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轮胎尺寸</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215/65 R17</w:t>
            </w:r>
          </w:p>
        </w:tc>
      </w:tr>
      <w:tr>
        <w:tblPrEx>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SVW64712BP</w:t>
            </w:r>
          </w:p>
        </w:tc>
      </w:tr>
      <w:tr>
        <w:tblPrEx>
          <w:tblCellMar>
            <w:top w:w="0" w:type="dxa"/>
            <w:left w:w="108" w:type="dxa"/>
            <w:bottom w:w="0" w:type="dxa"/>
            <w:right w:w="108" w:type="dxa"/>
          </w:tblCellMar>
        </w:tblPrEx>
        <w:trPr>
          <w:trHeight w:val="61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车辆制造企业名称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200" w:firstLineChars="1000"/>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上汽大众汽车</w:t>
            </w:r>
          </w:p>
        </w:tc>
      </w:tr>
      <w:tr>
        <w:tblPrEx>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车辆品牌/车辆名称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途观L</w:t>
            </w:r>
          </w:p>
        </w:tc>
      </w:tr>
      <w:tr>
        <w:tblPrEx>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燃料种类</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汽油</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发动机型号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EA211-DSV</w:t>
            </w:r>
          </w:p>
        </w:tc>
      </w:tr>
      <w:tr>
        <w:tblPrEx>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排放标准</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国VI</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额定载客</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r>
      <w:tr>
        <w:tblPrEx>
          <w:tblCellMar>
            <w:top w:w="0" w:type="dxa"/>
            <w:left w:w="108" w:type="dxa"/>
            <w:bottom w:w="0" w:type="dxa"/>
            <w:right w:w="108" w:type="dxa"/>
          </w:tblCellMar>
        </w:tblPrEx>
        <w:trPr>
          <w:trHeight w:val="503"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最高设计时速</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200km/h</w:t>
            </w:r>
          </w:p>
        </w:tc>
      </w:tr>
      <w:tr>
        <w:tblPrEx>
          <w:tblCellMar>
            <w:top w:w="0" w:type="dxa"/>
            <w:left w:w="108" w:type="dxa"/>
            <w:bottom w:w="0" w:type="dxa"/>
            <w:right w:w="108" w:type="dxa"/>
          </w:tblCellMar>
        </w:tblPrEx>
        <w:trPr>
          <w:trHeight w:val="678"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2247"/>
              </w:tabs>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其余标准配置,脚垫、全车贴膜。</w:t>
            </w:r>
          </w:p>
        </w:tc>
      </w:tr>
    </w:tbl>
    <w:p>
      <w:pPr>
        <w:pStyle w:val="13"/>
        <w:ind w:left="0" w:leftChars="0" w:firstLine="0" w:firstLineChars="0"/>
        <w:rPr>
          <w:rFonts w:ascii="宋体" w:hAnsi="宋体" w:cs="仿宋_GB2312"/>
          <w:sz w:val="30"/>
          <w:szCs w:val="30"/>
        </w:rPr>
      </w:pPr>
    </w:p>
    <w:p>
      <w:pPr>
        <w:pStyle w:val="13"/>
        <w:ind w:left="0" w:leftChars="0" w:firstLine="0" w:firstLineChars="0"/>
        <w:rPr>
          <w:rFonts w:hint="eastAsia" w:ascii="宋体" w:hAnsi="宋体" w:cs="仿宋_GB2312"/>
          <w:sz w:val="30"/>
          <w:szCs w:val="30"/>
        </w:rPr>
      </w:pPr>
    </w:p>
    <w:p>
      <w:pPr>
        <w:pStyle w:val="13"/>
        <w:ind w:left="0" w:leftChars="0" w:firstLine="0" w:firstLineChars="0"/>
        <w:rPr>
          <w:rFonts w:ascii="宋体" w:hAnsi="宋体" w:cs="仿宋_GB2312"/>
          <w:sz w:val="30"/>
          <w:szCs w:val="30"/>
        </w:rPr>
      </w:pPr>
    </w:p>
    <w:p>
      <w:pPr>
        <w:pStyle w:val="12"/>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60"/>
        <w:gridCol w:w="2940"/>
        <w:gridCol w:w="915"/>
        <w:gridCol w:w="88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vAlign w:val="center"/>
          </w:tcPr>
          <w:p>
            <w:pPr>
              <w:jc w:val="center"/>
              <w:rPr>
                <w:sz w:val="30"/>
                <w:szCs w:val="30"/>
              </w:rPr>
            </w:pPr>
            <w:r>
              <w:rPr>
                <w:rFonts w:hint="eastAsia"/>
                <w:sz w:val="30"/>
                <w:szCs w:val="30"/>
              </w:rPr>
              <w:t>包</w:t>
            </w:r>
          </w:p>
        </w:tc>
        <w:tc>
          <w:tcPr>
            <w:tcW w:w="960" w:type="dxa"/>
            <w:vAlign w:val="center"/>
          </w:tcPr>
          <w:p>
            <w:pPr>
              <w:jc w:val="center"/>
              <w:rPr>
                <w:sz w:val="30"/>
                <w:szCs w:val="30"/>
              </w:rPr>
            </w:pPr>
            <w:r>
              <w:rPr>
                <w:rFonts w:hint="eastAsia"/>
                <w:sz w:val="30"/>
                <w:szCs w:val="30"/>
              </w:rPr>
              <w:t>名称</w:t>
            </w:r>
          </w:p>
        </w:tc>
        <w:tc>
          <w:tcPr>
            <w:tcW w:w="2940" w:type="dxa"/>
            <w:vAlign w:val="center"/>
          </w:tcPr>
          <w:p>
            <w:pPr>
              <w:jc w:val="center"/>
              <w:rPr>
                <w:sz w:val="30"/>
                <w:szCs w:val="30"/>
              </w:rPr>
            </w:pPr>
            <w:r>
              <w:rPr>
                <w:rFonts w:hint="eastAsia"/>
                <w:sz w:val="30"/>
                <w:szCs w:val="30"/>
              </w:rPr>
              <w:t>品牌型号</w:t>
            </w:r>
          </w:p>
        </w:tc>
        <w:tc>
          <w:tcPr>
            <w:tcW w:w="915" w:type="dxa"/>
            <w:vAlign w:val="center"/>
          </w:tcPr>
          <w:p>
            <w:pPr>
              <w:jc w:val="center"/>
              <w:rPr>
                <w:sz w:val="30"/>
                <w:szCs w:val="30"/>
              </w:rPr>
            </w:pPr>
            <w:r>
              <w:rPr>
                <w:rFonts w:hint="eastAsia"/>
                <w:sz w:val="30"/>
                <w:szCs w:val="30"/>
              </w:rPr>
              <w:t>单位</w:t>
            </w:r>
          </w:p>
        </w:tc>
        <w:tc>
          <w:tcPr>
            <w:tcW w:w="881" w:type="dxa"/>
            <w:vAlign w:val="center"/>
          </w:tcPr>
          <w:p>
            <w:pPr>
              <w:jc w:val="center"/>
              <w:rPr>
                <w:sz w:val="30"/>
                <w:szCs w:val="30"/>
              </w:rPr>
            </w:pPr>
            <w:r>
              <w:rPr>
                <w:rFonts w:hint="eastAsia"/>
                <w:sz w:val="30"/>
                <w:szCs w:val="30"/>
              </w:rPr>
              <w:t>数量</w:t>
            </w:r>
          </w:p>
        </w:tc>
        <w:tc>
          <w:tcPr>
            <w:tcW w:w="1335" w:type="dxa"/>
            <w:vAlign w:val="center"/>
          </w:tcPr>
          <w:p>
            <w:pPr>
              <w:jc w:val="center"/>
              <w:rPr>
                <w:sz w:val="30"/>
                <w:szCs w:val="30"/>
              </w:rPr>
            </w:pPr>
            <w:r>
              <w:rPr>
                <w:rFonts w:hint="eastAsia"/>
                <w:sz w:val="30"/>
                <w:szCs w:val="30"/>
              </w:rPr>
              <w:t>颜色</w:t>
            </w:r>
          </w:p>
        </w:tc>
        <w:tc>
          <w:tcPr>
            <w:tcW w:w="825" w:type="dxa"/>
            <w:vAlign w:val="center"/>
          </w:tcPr>
          <w:p>
            <w:pPr>
              <w:jc w:val="center"/>
              <w:rPr>
                <w:sz w:val="30"/>
                <w:szCs w:val="30"/>
              </w:rPr>
            </w:pPr>
            <w:r>
              <w:rPr>
                <w:rFonts w:hint="eastAsia"/>
                <w:sz w:val="30"/>
                <w:szCs w:val="30"/>
              </w:rPr>
              <w:t>单价</w:t>
            </w:r>
          </w:p>
        </w:tc>
        <w:tc>
          <w:tcPr>
            <w:tcW w:w="108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bookmarkStart w:id="123" w:name="_Toc9834_WPSOffice_Level1"/>
          </w:p>
        </w:tc>
        <w:tc>
          <w:tcPr>
            <w:tcW w:w="96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szCs w:val="21"/>
              </w:rPr>
              <w:t>越野车</w:t>
            </w:r>
          </w:p>
        </w:tc>
        <w:tc>
          <w:tcPr>
            <w:tcW w:w="2940"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大众途观L300龙腾版</w:t>
            </w:r>
          </w:p>
        </w:tc>
        <w:tc>
          <w:tcPr>
            <w:tcW w:w="915"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88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335" w:type="dxa"/>
            <w:vAlign w:val="center"/>
          </w:tcPr>
          <w:p>
            <w:pPr>
              <w:spacing w:before="100" w:beforeAutospacing="1" w:after="100" w:afterAutospacing="1" w:line="360" w:lineRule="auto"/>
              <w:jc w:val="center"/>
              <w:rPr>
                <w:rFonts w:hint="eastAsia" w:ascii="宋体" w:hAnsi="宋体" w:eastAsia="宋体" w:cs="宋体"/>
                <w:szCs w:val="21"/>
              </w:rPr>
            </w:pPr>
            <w:r>
              <w:rPr>
                <w:rFonts w:hint="eastAsia" w:ascii="宋体" w:hAnsi="宋体" w:eastAsia="宋体" w:cs="宋体"/>
                <w:szCs w:val="21"/>
              </w:rPr>
              <w:t>3台白色</w:t>
            </w:r>
          </w:p>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1台黑色</w:t>
            </w:r>
          </w:p>
        </w:tc>
        <w:tc>
          <w:tcPr>
            <w:tcW w:w="825" w:type="dxa"/>
            <w:vAlign w:val="center"/>
          </w:tcPr>
          <w:p>
            <w:pPr>
              <w:jc w:val="center"/>
              <w:rPr>
                <w:rFonts w:ascii="宋体" w:hAnsi="宋体" w:eastAsia="宋体" w:cs="宋体"/>
                <w:szCs w:val="21"/>
              </w:rPr>
            </w:pPr>
          </w:p>
        </w:tc>
        <w:tc>
          <w:tcPr>
            <w:tcW w:w="1084" w:type="dxa"/>
            <w:vAlign w:val="center"/>
          </w:tcPr>
          <w:p>
            <w:pPr>
              <w:jc w:val="center"/>
              <w:rPr>
                <w:rFonts w:ascii="宋体" w:hAnsi="宋体" w:eastAsia="宋体" w:cs="宋体"/>
                <w:szCs w:val="21"/>
              </w:rPr>
            </w:pPr>
          </w:p>
        </w:tc>
      </w:tr>
    </w:tbl>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bookmarkStart w:id="165" w:name="_GoBack"/>
      <w:bookmarkEnd w:id="165"/>
    </w:p>
    <w:p>
      <w:pPr>
        <w:jc w:val="center"/>
        <w:rPr>
          <w:rFonts w:hint="eastAsia"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12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24" w:name="_Toc27552_WPSOffice_Level1"/>
      <w:bookmarkStart w:id="125" w:name="_Toc5145_WPSOffice_Level1"/>
      <w:bookmarkStart w:id="126" w:name="_Toc17394_WPSOffice_Level1"/>
      <w:bookmarkStart w:id="127" w:name="_Toc1914_WPSOffice_Level1"/>
      <w:r>
        <w:rPr>
          <w:rFonts w:ascii="Times New Roman" w:hAnsi="Times New Roman" w:eastAsia="黑体" w:cs="Times New Roman"/>
          <w:sz w:val="50"/>
          <w:szCs w:val="50"/>
        </w:rPr>
        <w:t>响  应  文  件</w:t>
      </w:r>
      <w:bookmarkEnd w:id="124"/>
      <w:bookmarkEnd w:id="125"/>
      <w:bookmarkEnd w:id="126"/>
      <w:bookmarkEnd w:id="12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8" w:name="_Toc25232_WPSOffice_Level2"/>
      <w:bookmarkStart w:id="12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28"/>
      <w:bookmarkEnd w:id="12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30" w:name="_Toc20076_WPSOffice_Level2"/>
      <w:bookmarkStart w:id="131"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30"/>
      <w:bookmarkEnd w:id="13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32" w:name="_Toc22351_WPSOffice_Level2"/>
      <w:bookmarkStart w:id="133" w:name="_Toc21974_WPSOffice_Level2"/>
      <w:r>
        <w:rPr>
          <w:rFonts w:ascii="Times New Roman" w:hAnsi="Times New Roman" w:eastAsia="黑体" w:cs="Times New Roman"/>
          <w:sz w:val="28"/>
          <w:szCs w:val="28"/>
        </w:rPr>
        <w:t>目     录</w:t>
      </w:r>
      <w:bookmarkEnd w:id="132"/>
      <w:bookmarkEnd w:id="133"/>
    </w:p>
    <w:p>
      <w:pPr>
        <w:spacing w:line="440" w:lineRule="exact"/>
        <w:rPr>
          <w:rFonts w:ascii="Times New Roman" w:hAnsi="Times New Roman" w:eastAsia="黑体" w:cs="Times New Roman"/>
          <w:b/>
          <w:bCs/>
          <w:sz w:val="20"/>
          <w:szCs w:val="20"/>
        </w:rPr>
      </w:pP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（1）</w:t>
      </w:r>
      <w:r>
        <w:rPr>
          <w:rFonts w:ascii="Times New Roman" w:hAnsi="Times New Roman" w:cs="Times New Roman"/>
          <w:b/>
          <w:bCs/>
        </w:rPr>
        <w:t>报价函</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法定代表人身份证明及授权委托书</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已标价的</w:t>
      </w:r>
      <w:r>
        <w:rPr>
          <w:rFonts w:hint="eastAsia" w:ascii="Times New Roman" w:hAnsi="Times New Roman" w:cs="Times New Roman"/>
          <w:b/>
          <w:bCs/>
        </w:rPr>
        <w:t>报价清单；</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供应商基本情况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信誉情况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（6）</w:t>
      </w:r>
      <w:r>
        <w:rPr>
          <w:rFonts w:hint="eastAsia" w:ascii="Times New Roman" w:hAnsi="Times New Roman" w:cs="Times New Roman"/>
          <w:b/>
          <w:bCs/>
          <w:szCs w:val="21"/>
        </w:rPr>
        <w:t>技术性能（质量）指标描述</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（7）供货方案；</w:t>
      </w:r>
    </w:p>
    <w:p>
      <w:pPr>
        <w:pStyle w:val="3"/>
        <w:spacing w:line="560" w:lineRule="atLeast"/>
        <w:ind w:firstLine="420"/>
        <w:jc w:val="left"/>
      </w:pPr>
      <w:r>
        <w:rPr>
          <w:rFonts w:hint="eastAsia"/>
          <w:b/>
          <w:bCs/>
        </w:rPr>
        <w:t>（8）响应参数表；</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（9）</w:t>
      </w:r>
      <w:r>
        <w:rPr>
          <w:rFonts w:ascii="Times New Roman" w:hAnsi="Times New Roman" w:cs="Times New Roman"/>
          <w:b/>
          <w:bCs/>
        </w:rPr>
        <w:t>其他材料</w:t>
      </w:r>
      <w:r>
        <w:rPr>
          <w:rFonts w:hint="eastAsia" w:ascii="Times New Roman" w:hAnsi="Times New Roman" w:cs="Times New Roman"/>
          <w:b/>
          <w:bCs/>
        </w:rPr>
        <w:t>。</w:t>
      </w:r>
    </w:p>
    <w:p>
      <w:pPr>
        <w:spacing w:line="560" w:lineRule="atLeast"/>
        <w:ind w:left="1619" w:leftChars="771"/>
        <w:rPr>
          <w:rFonts w:ascii="Times New Roman" w:hAnsi="Times New Roman" w:eastAsia="黑体" w:cs="Times New Roman"/>
          <w:sz w:val="24"/>
        </w:rPr>
      </w:pPr>
    </w:p>
    <w:p>
      <w:pPr>
        <w:numPr>
          <w:ilvl w:val="0"/>
          <w:numId w:val="5"/>
        </w:num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4" w:name="_Toc29399_WPSOffice_Level1"/>
      <w:bookmarkStart w:id="135" w:name="_Toc1687_WPSOffice_Level1"/>
      <w:bookmarkStart w:id="136" w:name="_Toc30031_WPSOffice_Level1"/>
      <w:bookmarkStart w:id="137" w:name="_Toc18312_WPSOffice_Level1"/>
      <w:bookmarkStart w:id="138" w:name="_Toc2765_WPSOffice_Level1"/>
      <w:r>
        <w:rPr>
          <w:rFonts w:ascii="Times New Roman" w:hAnsi="Times New Roman" w:eastAsia="黑体" w:cs="Times New Roman"/>
          <w:sz w:val="28"/>
          <w:szCs w:val="28"/>
        </w:rPr>
        <w:t>报价函</w:t>
      </w:r>
      <w:bookmarkEnd w:id="134"/>
      <w:bookmarkEnd w:id="135"/>
      <w:bookmarkEnd w:id="136"/>
      <w:bookmarkEnd w:id="137"/>
      <w:bookmarkEnd w:id="138"/>
    </w:p>
    <w:p>
      <w:pPr>
        <w:pStyle w:val="2"/>
        <w:ind w:firstLine="0" w:firstLineChars="0"/>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3"/>
        <w:ind w:firstLine="480" w:firstLineChars="200"/>
      </w:pPr>
      <w:r>
        <w:rPr>
          <w:rFonts w:hint="eastAsia" w:ascii="Times New Roman" w:hAnsi="Times New Roman" w:cs="Times New Roman"/>
          <w:sz w:val="24"/>
        </w:rPr>
        <w:t>(4)我方承诺车辆符合国家入户、上牌标准，如因我方造成的原因</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9" w:name="_Toc8695_WPSOffice_Level1"/>
      <w:bookmarkStart w:id="140" w:name="_Toc18668_WPSOffice_Level1"/>
      <w:bookmarkStart w:id="141" w:name="_Toc12530_WPSOffice_Level1"/>
      <w:bookmarkStart w:id="142" w:name="_Toc14563_WPSOffice_Level1"/>
      <w:bookmarkStart w:id="143" w:name="_Toc32350_WPSOffice_Level1"/>
      <w:r>
        <w:rPr>
          <w:rFonts w:ascii="Times New Roman" w:hAnsi="Times New Roman" w:eastAsia="黑体" w:cs="Times New Roman"/>
          <w:sz w:val="28"/>
          <w:szCs w:val="28"/>
        </w:rPr>
        <w:t>二、法定代表人身份证明及授权委托书</w:t>
      </w:r>
      <w:bookmarkEnd w:id="139"/>
      <w:bookmarkEnd w:id="140"/>
      <w:bookmarkEnd w:id="141"/>
      <w:bookmarkEnd w:id="142"/>
      <w:bookmarkEnd w:id="143"/>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4" w:name="_Toc20803_WPSOffice_Level2"/>
      <w:bookmarkStart w:id="145" w:name="_Toc5153_WPSOffice_Level2"/>
      <w:r>
        <w:rPr>
          <w:rFonts w:ascii="Times New Roman" w:hAnsi="Times New Roman" w:eastAsia="黑体" w:cs="Times New Roman"/>
          <w:bCs/>
          <w:sz w:val="28"/>
          <w:szCs w:val="28"/>
        </w:rPr>
        <w:t>2-1 法定代表人身份证明</w:t>
      </w:r>
      <w:bookmarkEnd w:id="144"/>
      <w:bookmarkEnd w:id="145"/>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6" w:name="_Toc12035_WPSOffice_Level2"/>
      <w:bookmarkStart w:id="147"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6"/>
      <w:bookmarkEnd w:id="147"/>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8" w:name="_Toc32085_WPSOffice_Level1"/>
      <w:bookmarkStart w:id="149" w:name="_Toc24530_WPSOffice_Level1"/>
      <w:bookmarkStart w:id="150" w:name="_Toc15186_WPSOffice_Level1"/>
      <w:bookmarkStart w:id="151" w:name="_Toc24567_WPSOffice_Level1"/>
      <w:bookmarkStart w:id="152"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8"/>
      <w:bookmarkEnd w:id="149"/>
      <w:bookmarkEnd w:id="150"/>
      <w:bookmarkEnd w:id="151"/>
      <w:r>
        <w:rPr>
          <w:rFonts w:hint="eastAsia" w:ascii="Times New Roman" w:hAnsi="Times New Roman" w:eastAsia="黑体" w:cs="Times New Roman"/>
          <w:sz w:val="28"/>
          <w:szCs w:val="28"/>
        </w:rPr>
        <w:t>报价清单</w:t>
      </w:r>
      <w:bookmarkEnd w:id="152"/>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845" w:type="dxa"/>
            <w:vAlign w:val="center"/>
          </w:tcPr>
          <w:p>
            <w:pPr>
              <w:jc w:val="center"/>
              <w:rPr>
                <w:sz w:val="30"/>
                <w:szCs w:val="30"/>
              </w:rPr>
            </w:pPr>
            <w:r>
              <w:rPr>
                <w:rFonts w:hint="eastAsia"/>
                <w:sz w:val="30"/>
                <w:szCs w:val="30"/>
              </w:rPr>
              <w:t>品牌型号</w:t>
            </w:r>
          </w:p>
        </w:tc>
        <w:tc>
          <w:tcPr>
            <w:tcW w:w="931"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845" w:type="dxa"/>
            <w:vAlign w:val="center"/>
          </w:tcPr>
          <w:p>
            <w:pPr>
              <w:spacing w:before="100" w:beforeAutospacing="1" w:after="100" w:afterAutospacing="1" w:line="360" w:lineRule="auto"/>
              <w:jc w:val="center"/>
              <w:rPr>
                <w:sz w:val="28"/>
                <w:szCs w:val="28"/>
              </w:rPr>
            </w:pPr>
          </w:p>
        </w:tc>
        <w:tc>
          <w:tcPr>
            <w:tcW w:w="931"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   年    月     日  </w:t>
      </w: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3" w:name="_Toc22815_WPSOffice_Level1"/>
      <w:bookmarkStart w:id="154" w:name="_Toc31445_WPSOffice_Level1"/>
      <w:bookmarkStart w:id="155" w:name="_Toc23545_WPSOffice_Level1"/>
      <w:bookmarkStart w:id="156" w:name="_Toc7738_WPSOffice_Level1"/>
      <w:bookmarkStart w:id="157"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8" w:name="_Toc2807_WPSOffice_Level2"/>
      <w:bookmarkStart w:id="159" w:name="_Toc27600_WPSOffice_Level2"/>
      <w:r>
        <w:rPr>
          <w:rFonts w:ascii="Times New Roman" w:hAnsi="Times New Roman" w:eastAsia="黑体" w:cs="Times New Roman"/>
          <w:sz w:val="28"/>
          <w:szCs w:val="28"/>
        </w:rPr>
        <w:t>供应商基本情况</w:t>
      </w:r>
      <w:bookmarkEnd w:id="153"/>
      <w:bookmarkEnd w:id="154"/>
      <w:bookmarkEnd w:id="155"/>
      <w:bookmarkEnd w:id="156"/>
      <w:bookmarkEnd w:id="157"/>
      <w:bookmarkEnd w:id="158"/>
      <w:bookmarkEnd w:id="159"/>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3"/>
        <w:rPr>
          <w:rFonts w:ascii="Times New Roman" w:hAnsi="Times New Roman"/>
        </w:rPr>
      </w:pPr>
    </w:p>
    <w:p>
      <w:pPr>
        <w:topLinePunct/>
        <w:spacing w:line="340" w:lineRule="atLeast"/>
        <w:ind w:firstLine="3080" w:firstLineChars="1100"/>
        <w:rPr>
          <w:rFonts w:ascii="Times New Roman" w:hAnsi="Times New Roman" w:eastAsia="黑体" w:cs="Times New Roman"/>
          <w:sz w:val="28"/>
          <w:szCs w:val="28"/>
        </w:rPr>
      </w:pPr>
      <w:bookmarkStart w:id="160" w:name="_Toc3893_WPSOffice_Level1"/>
      <w:bookmarkStart w:id="161" w:name="_Toc12019_WPSOffice_Level1"/>
      <w:bookmarkStart w:id="162" w:name="_Toc30712_WPSOffice_Level1"/>
      <w:bookmarkStart w:id="163" w:name="_Toc5403_WPSOffice_Level1"/>
      <w:bookmarkStart w:id="164" w:name="_Toc926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0"/>
      <w:bookmarkEnd w:id="161"/>
      <w:bookmarkEnd w:id="162"/>
      <w:bookmarkEnd w:id="163"/>
      <w:bookmarkEnd w:id="164"/>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3"/>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3"/>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3"/>
      </w:pPr>
    </w:p>
    <w:p>
      <w:pPr>
        <w:pStyle w:val="3"/>
        <w:spacing w:line="440" w:lineRule="exact"/>
        <w:rPr>
          <w:rFonts w:ascii="Times New Roman" w:hAnsi="Times New Roman" w:cs="Times New Roman"/>
          <w:sz w:val="24"/>
        </w:rPr>
      </w:pPr>
    </w:p>
    <w:p>
      <w:pPr>
        <w:spacing w:line="400" w:lineRule="atLeast"/>
      </w:pPr>
    </w:p>
    <w:p>
      <w:pPr>
        <w:pStyle w:val="3"/>
      </w:pPr>
    </w:p>
    <w:p>
      <w:pPr>
        <w:pStyle w:val="3"/>
      </w:pPr>
    </w:p>
    <w:p>
      <w:pPr>
        <w:pStyle w:val="3"/>
      </w:pPr>
    </w:p>
    <w:p>
      <w:pPr>
        <w:pStyle w:val="3"/>
      </w:pPr>
    </w:p>
    <w:p>
      <w:pPr>
        <w:pStyle w:val="3"/>
      </w:pPr>
    </w:p>
    <w:p>
      <w:pPr>
        <w:pStyle w:val="3"/>
      </w:pPr>
    </w:p>
    <w:p>
      <w:pPr>
        <w:pStyle w:val="3"/>
      </w:pPr>
    </w:p>
    <w:p>
      <w:pPr>
        <w:pStyle w:val="3"/>
        <w:jc w:val="center"/>
        <w:rPr>
          <w:b/>
          <w:bCs/>
          <w:sz w:val="28"/>
          <w:szCs w:val="28"/>
        </w:rPr>
      </w:pPr>
    </w:p>
    <w:p>
      <w:pPr>
        <w:pStyle w:val="3"/>
        <w:rPr>
          <w:b/>
          <w:bCs/>
          <w:sz w:val="28"/>
          <w:szCs w:val="28"/>
        </w:rPr>
      </w:pPr>
      <w:r>
        <w:rPr>
          <w:rFonts w:hint="eastAsia"/>
          <w:b/>
          <w:bCs/>
          <w:sz w:val="28"/>
          <w:szCs w:val="28"/>
        </w:rPr>
        <w:t xml:space="preserve">            六、技术性能（质量）指标描述</w:t>
      </w:r>
    </w:p>
    <w:p>
      <w:pPr>
        <w:pStyle w:val="3"/>
        <w:ind w:firstLine="1687" w:firstLineChars="600"/>
        <w:rPr>
          <w:b/>
          <w:bCs/>
          <w:sz w:val="28"/>
          <w:szCs w:val="28"/>
        </w:rPr>
      </w:pPr>
      <w:r>
        <w:rPr>
          <w:rFonts w:hint="eastAsia"/>
          <w:b/>
          <w:bCs/>
          <w:sz w:val="28"/>
          <w:szCs w:val="28"/>
        </w:rPr>
        <w:t>七、供货方案</w:t>
      </w:r>
    </w:p>
    <w:p>
      <w:pPr>
        <w:pStyle w:val="3"/>
        <w:ind w:firstLine="1687" w:firstLineChars="600"/>
        <w:rPr>
          <w:b/>
          <w:bCs/>
          <w:sz w:val="28"/>
          <w:szCs w:val="28"/>
        </w:rPr>
      </w:pPr>
      <w:r>
        <w:rPr>
          <w:rFonts w:hint="eastAsia"/>
          <w:b/>
          <w:bCs/>
          <w:sz w:val="28"/>
          <w:szCs w:val="28"/>
        </w:rPr>
        <w:t>八、响应参数表</w:t>
      </w:r>
    </w:p>
    <w:p>
      <w:pPr>
        <w:pStyle w:val="3"/>
        <w:ind w:firstLine="1687" w:firstLineChars="600"/>
        <w:rPr>
          <w:b/>
          <w:bCs/>
          <w:sz w:val="28"/>
          <w:szCs w:val="28"/>
        </w:rPr>
      </w:pPr>
      <w:r>
        <w:rPr>
          <w:rFonts w:hint="eastAsia"/>
          <w:b/>
          <w:bCs/>
          <w:sz w:val="28"/>
          <w:szCs w:val="28"/>
        </w:rPr>
        <w:t>九、其他材料</w:t>
      </w:r>
    </w:p>
    <w:p>
      <w:pPr>
        <w:pStyle w:val="3"/>
        <w:jc w:val="center"/>
        <w:rPr>
          <w:b/>
          <w:bCs/>
          <w:sz w:val="28"/>
          <w:szCs w:val="28"/>
        </w:rPr>
      </w:pPr>
    </w:p>
    <w:p>
      <w:pPr>
        <w:pStyle w:val="3"/>
      </w:pPr>
    </w:p>
    <w:p>
      <w:pPr>
        <w:pStyle w:val="3"/>
      </w:pPr>
    </w:p>
    <w:p>
      <w:pPr>
        <w:pStyle w:val="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0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pPr>
      <w:pStyle w:val="11"/>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335F82"/>
    <w:multiLevelType w:val="singleLevel"/>
    <w:tmpl w:val="B6335F82"/>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F7890"/>
    <w:rsid w:val="0015493D"/>
    <w:rsid w:val="00172A27"/>
    <w:rsid w:val="001D799F"/>
    <w:rsid w:val="00210A1D"/>
    <w:rsid w:val="00272678"/>
    <w:rsid w:val="004D266E"/>
    <w:rsid w:val="005A36D3"/>
    <w:rsid w:val="005C28A1"/>
    <w:rsid w:val="006A53FE"/>
    <w:rsid w:val="007D0BBA"/>
    <w:rsid w:val="009103E3"/>
    <w:rsid w:val="009130D0"/>
    <w:rsid w:val="00AD1B4E"/>
    <w:rsid w:val="00AF7803"/>
    <w:rsid w:val="00BA1CAE"/>
    <w:rsid w:val="00D60F2E"/>
    <w:rsid w:val="00DF1527"/>
    <w:rsid w:val="00E909F1"/>
    <w:rsid w:val="00EB2C48"/>
    <w:rsid w:val="00F56741"/>
    <w:rsid w:val="01261938"/>
    <w:rsid w:val="01262A16"/>
    <w:rsid w:val="01516AAC"/>
    <w:rsid w:val="016467FF"/>
    <w:rsid w:val="016F3AE4"/>
    <w:rsid w:val="017275DD"/>
    <w:rsid w:val="01855CAC"/>
    <w:rsid w:val="01986FC9"/>
    <w:rsid w:val="01AC3423"/>
    <w:rsid w:val="01D26FB5"/>
    <w:rsid w:val="01D8197B"/>
    <w:rsid w:val="01DE5819"/>
    <w:rsid w:val="01FD7A87"/>
    <w:rsid w:val="01FF530F"/>
    <w:rsid w:val="01FF56C2"/>
    <w:rsid w:val="021722C6"/>
    <w:rsid w:val="021D04ED"/>
    <w:rsid w:val="024946D1"/>
    <w:rsid w:val="0250686A"/>
    <w:rsid w:val="028275B1"/>
    <w:rsid w:val="02B0136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6BB4C6F"/>
    <w:rsid w:val="07084811"/>
    <w:rsid w:val="072639A0"/>
    <w:rsid w:val="076F25A8"/>
    <w:rsid w:val="07A10C59"/>
    <w:rsid w:val="07E23ADF"/>
    <w:rsid w:val="080D2DB2"/>
    <w:rsid w:val="08315767"/>
    <w:rsid w:val="086348CE"/>
    <w:rsid w:val="087D63B5"/>
    <w:rsid w:val="087E3A40"/>
    <w:rsid w:val="08852948"/>
    <w:rsid w:val="08AC6280"/>
    <w:rsid w:val="08D840D9"/>
    <w:rsid w:val="0903431A"/>
    <w:rsid w:val="090B1608"/>
    <w:rsid w:val="091201C8"/>
    <w:rsid w:val="09195FA3"/>
    <w:rsid w:val="091C125F"/>
    <w:rsid w:val="092D5CEC"/>
    <w:rsid w:val="094B5D5D"/>
    <w:rsid w:val="09501EDA"/>
    <w:rsid w:val="0973495D"/>
    <w:rsid w:val="09A07033"/>
    <w:rsid w:val="09A35E85"/>
    <w:rsid w:val="09CC4322"/>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595E5D"/>
    <w:rsid w:val="0C6E559A"/>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5763F4"/>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DB5E79"/>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CF609F"/>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7B6B8F"/>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17D2D"/>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82CDC"/>
    <w:rsid w:val="235C166E"/>
    <w:rsid w:val="23607DE2"/>
    <w:rsid w:val="2386246B"/>
    <w:rsid w:val="23A42CCD"/>
    <w:rsid w:val="23B03575"/>
    <w:rsid w:val="23B5629D"/>
    <w:rsid w:val="23C26E54"/>
    <w:rsid w:val="23F25D22"/>
    <w:rsid w:val="24202C55"/>
    <w:rsid w:val="243A6885"/>
    <w:rsid w:val="243B42AE"/>
    <w:rsid w:val="244637AD"/>
    <w:rsid w:val="245F17DF"/>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721E1"/>
    <w:rsid w:val="2C6E3570"/>
    <w:rsid w:val="2C74409C"/>
    <w:rsid w:val="2C78559C"/>
    <w:rsid w:val="2C8608B9"/>
    <w:rsid w:val="2CCB157B"/>
    <w:rsid w:val="2CEE1A7D"/>
    <w:rsid w:val="2D044DD1"/>
    <w:rsid w:val="2D1C78E5"/>
    <w:rsid w:val="2D4633AE"/>
    <w:rsid w:val="2D491475"/>
    <w:rsid w:val="2D502C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2455DC"/>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15845"/>
    <w:rsid w:val="371B6C62"/>
    <w:rsid w:val="372D6CF1"/>
    <w:rsid w:val="3757272A"/>
    <w:rsid w:val="377A75FB"/>
    <w:rsid w:val="379940D4"/>
    <w:rsid w:val="37E57834"/>
    <w:rsid w:val="381E4BFD"/>
    <w:rsid w:val="38244BD5"/>
    <w:rsid w:val="382A0CE5"/>
    <w:rsid w:val="383261D0"/>
    <w:rsid w:val="38390ED6"/>
    <w:rsid w:val="3855784A"/>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AE4F24"/>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744FB9"/>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7E5B29"/>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805D82"/>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941746"/>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BB6EFA"/>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45523"/>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1A05A9"/>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69616D"/>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6FF3367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2C96649"/>
    <w:rsid w:val="73253CEE"/>
    <w:rsid w:val="732A6942"/>
    <w:rsid w:val="73467AF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4F234FC"/>
    <w:rsid w:val="75151909"/>
    <w:rsid w:val="751C632F"/>
    <w:rsid w:val="752C0B88"/>
    <w:rsid w:val="75366D02"/>
    <w:rsid w:val="75494F9F"/>
    <w:rsid w:val="75762B98"/>
    <w:rsid w:val="75871A0B"/>
    <w:rsid w:val="75991092"/>
    <w:rsid w:val="759B5E27"/>
    <w:rsid w:val="75A5137D"/>
    <w:rsid w:val="75A572D1"/>
    <w:rsid w:val="75E62317"/>
    <w:rsid w:val="761335AB"/>
    <w:rsid w:val="76373B59"/>
    <w:rsid w:val="764104F7"/>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6B6AB5"/>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6A775E"/>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autoRedefine/>
    <w:qFormat/>
    <w:uiPriority w:val="0"/>
    <w:pPr>
      <w:adjustRightInd w:val="0"/>
      <w:spacing w:line="360" w:lineRule="atLeast"/>
      <w:ind w:firstLine="420" w:firstLineChars="100"/>
      <w:jc w:val="left"/>
      <w:textAlignment w:val="baseline"/>
    </w:pPr>
    <w:rPr>
      <w:sz w:val="24"/>
    </w:rPr>
  </w:style>
  <w:style w:type="paragraph" w:styleId="3">
    <w:name w:val="Body Text"/>
    <w:basedOn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unhideWhenUsed/>
    <w:qFormat/>
    <w:uiPriority w:val="99"/>
    <w:pPr>
      <w:snapToGrid w:val="0"/>
      <w:ind w:firstLine="200"/>
    </w:pPr>
    <w:rPr>
      <w:rFonts w:ascii="Arial" w:hAnsi="Arial" w:cs="Arial"/>
      <w:szCs w:val="20"/>
    </w:rPr>
  </w:style>
  <w:style w:type="paragraph" w:styleId="9">
    <w:name w:val="Plain Text"/>
    <w:basedOn w:val="1"/>
    <w:autoRedefine/>
    <w:qFormat/>
    <w:uiPriority w:val="99"/>
    <w:rPr>
      <w:rFonts w:ascii="宋体" w:hAnsi="Courier New"/>
      <w:szCs w:val="20"/>
    </w:rPr>
  </w:style>
  <w:style w:type="paragraph" w:styleId="10">
    <w:name w:val="Balloon Text"/>
    <w:basedOn w:val="1"/>
    <w:link w:val="3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Normal (Web)"/>
    <w:basedOn w:val="1"/>
    <w:autoRedefine/>
    <w:qFormat/>
    <w:uiPriority w:val="99"/>
    <w:pPr>
      <w:spacing w:beforeAutospacing="1" w:afterAutospacing="1"/>
      <w:jc w:val="left"/>
    </w:pPr>
    <w:rPr>
      <w:rFonts w:cs="Times New Roman"/>
      <w:kern w:val="0"/>
      <w:sz w:val="24"/>
    </w:rPr>
  </w:style>
  <w:style w:type="paragraph" w:styleId="13">
    <w:name w:val="Body Text First Indent 2"/>
    <w:basedOn w:val="7"/>
    <w:autoRedefine/>
    <w:unhideWhenUsed/>
    <w:qFormat/>
    <w:uiPriority w:val="99"/>
    <w:pPr>
      <w:ind w:firstLine="420" w:firstLineChars="200"/>
    </w:pPr>
    <w:rPr>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FollowedHyperlink"/>
    <w:basedOn w:val="16"/>
    <w:autoRedefine/>
    <w:qFormat/>
    <w:uiPriority w:val="0"/>
    <w:rPr>
      <w:rFonts w:hint="eastAsia" w:ascii="微软雅黑" w:hAnsi="微软雅黑" w:eastAsia="微软雅黑" w:cs="微软雅黑"/>
      <w:color w:val="323232"/>
      <w:sz w:val="21"/>
      <w:szCs w:val="21"/>
      <w:u w:val="none"/>
    </w:rPr>
  </w:style>
  <w:style w:type="character" w:styleId="19">
    <w:name w:val="Hyperlink"/>
    <w:basedOn w:val="16"/>
    <w:autoRedefine/>
    <w:qFormat/>
    <w:uiPriority w:val="0"/>
    <w:rPr>
      <w:color w:val="0000FF"/>
      <w:u w:val="single"/>
    </w:rPr>
  </w:style>
  <w:style w:type="paragraph" w:customStyle="1" w:styleId="20">
    <w:name w:val="WPSOffice手动目录 1"/>
    <w:autoRedefine/>
    <w:qFormat/>
    <w:uiPriority w:val="0"/>
    <w:rPr>
      <w:rFonts w:asciiTheme="minorHAnsi" w:hAnsiTheme="minorHAnsi" w:eastAsiaTheme="minorEastAsia" w:cstheme="minorBidi"/>
      <w:lang w:val="en-US" w:eastAsia="zh-CN" w:bidi="ar-SA"/>
    </w:rPr>
  </w:style>
  <w:style w:type="paragraph" w:customStyle="1" w:styleId="21">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autoRedefine/>
    <w:qFormat/>
    <w:uiPriority w:val="0"/>
    <w:pPr>
      <w:jc w:val="center"/>
    </w:pPr>
    <w:rPr>
      <w:rFonts w:ascii="黑体" w:hAnsi="黑体" w:eastAsia="黑体"/>
      <w:sz w:val="28"/>
    </w:rPr>
  </w:style>
  <w:style w:type="character" w:customStyle="1" w:styleId="23">
    <w:name w:val="标题 2 Char"/>
    <w:link w:val="5"/>
    <w:autoRedefine/>
    <w:qFormat/>
    <w:uiPriority w:val="0"/>
    <w:rPr>
      <w:rFonts w:ascii="Arial" w:hAnsi="Arial"/>
      <w:b/>
      <w:bCs/>
      <w:sz w:val="28"/>
      <w:szCs w:val="32"/>
    </w:rPr>
  </w:style>
  <w:style w:type="character" w:customStyle="1" w:styleId="24">
    <w:name w:val="font01"/>
    <w:basedOn w:val="16"/>
    <w:autoRedefine/>
    <w:qFormat/>
    <w:uiPriority w:val="0"/>
    <w:rPr>
      <w:rFonts w:hint="eastAsia" w:ascii="宋体" w:hAnsi="宋体" w:eastAsia="宋体" w:cs="宋体"/>
      <w:color w:val="000000"/>
      <w:sz w:val="20"/>
      <w:szCs w:val="20"/>
      <w:u w:val="none"/>
    </w:rPr>
  </w:style>
  <w:style w:type="character" w:customStyle="1" w:styleId="25">
    <w:name w:val="font31"/>
    <w:basedOn w:val="16"/>
    <w:autoRedefine/>
    <w:qFormat/>
    <w:uiPriority w:val="0"/>
    <w:rPr>
      <w:rFonts w:hint="eastAsia" w:ascii="宋体" w:hAnsi="宋体" w:eastAsia="宋体" w:cs="宋体"/>
      <w:color w:val="000000"/>
      <w:sz w:val="24"/>
      <w:szCs w:val="24"/>
      <w:u w:val="none"/>
    </w:rPr>
  </w:style>
  <w:style w:type="character" w:customStyle="1" w:styleId="26">
    <w:name w:val="font61"/>
    <w:basedOn w:val="16"/>
    <w:autoRedefine/>
    <w:qFormat/>
    <w:uiPriority w:val="0"/>
    <w:rPr>
      <w:rFonts w:hint="default" w:ascii="Times New Roman" w:hAnsi="Times New Roman" w:cs="Times New Roman"/>
      <w:color w:val="000000"/>
      <w:sz w:val="24"/>
      <w:szCs w:val="24"/>
      <w:u w:val="none"/>
    </w:rPr>
  </w:style>
  <w:style w:type="character" w:customStyle="1" w:styleId="27">
    <w:name w:val="font11"/>
    <w:basedOn w:val="16"/>
    <w:autoRedefine/>
    <w:qFormat/>
    <w:uiPriority w:val="0"/>
    <w:rPr>
      <w:rFonts w:hint="eastAsia" w:ascii="宋体" w:hAnsi="宋体" w:eastAsia="宋体" w:cs="宋体"/>
      <w:color w:val="000000"/>
      <w:sz w:val="24"/>
      <w:szCs w:val="24"/>
      <w:u w:val="none"/>
    </w:rPr>
  </w:style>
  <w:style w:type="character" w:customStyle="1" w:styleId="28">
    <w:name w:val="font51"/>
    <w:basedOn w:val="16"/>
    <w:autoRedefine/>
    <w:qFormat/>
    <w:uiPriority w:val="0"/>
    <w:rPr>
      <w:rFonts w:ascii="Calibri" w:hAnsi="Calibri" w:cs="Calibri"/>
      <w:color w:val="000000"/>
      <w:sz w:val="24"/>
      <w:szCs w:val="24"/>
      <w:u w:val="none"/>
    </w:rPr>
  </w:style>
  <w:style w:type="character" w:customStyle="1" w:styleId="29">
    <w:name w:val="font21"/>
    <w:basedOn w:val="16"/>
    <w:autoRedefine/>
    <w:qFormat/>
    <w:uiPriority w:val="0"/>
    <w:rPr>
      <w:rFonts w:hint="eastAsia" w:ascii="宋体" w:hAnsi="宋体" w:eastAsia="宋体" w:cs="宋体"/>
      <w:b/>
      <w:bCs/>
      <w:color w:val="000000"/>
      <w:sz w:val="20"/>
      <w:szCs w:val="20"/>
      <w:u w:val="none"/>
    </w:rPr>
  </w:style>
  <w:style w:type="character" w:customStyle="1" w:styleId="30">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1">
    <w:name w:val="font41"/>
    <w:basedOn w:val="16"/>
    <w:autoRedefine/>
    <w:qFormat/>
    <w:uiPriority w:val="0"/>
    <w:rPr>
      <w:rFonts w:hint="eastAsia" w:ascii="宋体" w:hAnsi="宋体" w:eastAsia="宋体" w:cs="宋体"/>
      <w:color w:val="000000"/>
      <w:sz w:val="20"/>
      <w:szCs w:val="20"/>
      <w:u w:val="none"/>
    </w:rPr>
  </w:style>
  <w:style w:type="character" w:customStyle="1" w:styleId="32">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autoRedefine/>
    <w:qFormat/>
    <w:uiPriority w:val="0"/>
    <w:rPr>
      <w:color w:val="D61521"/>
    </w:rPr>
  </w:style>
  <w:style w:type="character" w:customStyle="1" w:styleId="34">
    <w:name w:val="NormalCharacter"/>
    <w:autoRedefine/>
    <w:semiHidden/>
    <w:qFormat/>
    <w:uiPriority w:val="0"/>
  </w:style>
  <w:style w:type="paragraph" w:customStyle="1" w:styleId="35">
    <w:name w:val="Char Char Char Char Char Char Char1 Char"/>
    <w:basedOn w:val="1"/>
    <w:autoRedefine/>
    <w:qFormat/>
    <w:uiPriority w:val="0"/>
    <w:pPr>
      <w:jc w:val="left"/>
    </w:pPr>
    <w:rPr>
      <w:rFonts w:ascii="Tahoma" w:hAnsi="Tahoma"/>
      <w:sz w:val="24"/>
      <w:szCs w:val="20"/>
    </w:rPr>
  </w:style>
  <w:style w:type="paragraph" w:customStyle="1" w:styleId="36">
    <w:name w:val="UserStyle_1"/>
    <w:basedOn w:val="1"/>
    <w:autoRedefine/>
    <w:qFormat/>
    <w:uiPriority w:val="0"/>
    <w:rPr>
      <w:rFonts w:ascii="宋体" w:hAnsi="宋体"/>
      <w:lang w:val="zh-CN" w:bidi="zh-CN"/>
    </w:rPr>
  </w:style>
  <w:style w:type="paragraph" w:customStyle="1" w:styleId="37">
    <w:name w:val="Table Paragraph"/>
    <w:basedOn w:val="1"/>
    <w:autoRedefine/>
    <w:qFormat/>
    <w:uiPriority w:val="1"/>
    <w:rPr>
      <w:rFonts w:ascii="宋体" w:hAnsi="宋体" w:cs="宋体"/>
      <w:lang w:val="zh-CN" w:bidi="zh-CN"/>
    </w:rPr>
  </w:style>
  <w:style w:type="character" w:customStyle="1" w:styleId="38">
    <w:name w:val="font111"/>
    <w:basedOn w:val="16"/>
    <w:autoRedefine/>
    <w:qFormat/>
    <w:uiPriority w:val="0"/>
    <w:rPr>
      <w:rFonts w:hint="eastAsia" w:ascii="微软雅黑" w:hAnsi="微软雅黑" w:eastAsia="微软雅黑" w:cs="微软雅黑"/>
      <w:b/>
      <w:bCs/>
      <w:color w:val="000000"/>
      <w:sz w:val="20"/>
      <w:szCs w:val="20"/>
      <w:u w:val="none"/>
    </w:rPr>
  </w:style>
  <w:style w:type="character" w:customStyle="1" w:styleId="39">
    <w:name w:val="批注框文本 Char"/>
    <w:basedOn w:val="16"/>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1715</Words>
  <Characters>9777</Characters>
  <Lines>81</Lines>
  <Paragraphs>22</Paragraphs>
  <TotalTime>225</TotalTime>
  <ScaleCrop>false</ScaleCrop>
  <LinksUpToDate>false</LinksUpToDate>
  <CharactersWithSpaces>11470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2024-04-17T08:48:16Z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FB20E857966C48198379435E3BF60297_13</vt:lpwstr>
  </property>
</Properties>
</file>