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eastAsia="方正粗黑宋简体" w:cs="Times New Roman"/>
          <w:b/>
          <w:bCs/>
          <w:sz w:val="44"/>
          <w:szCs w:val="44"/>
        </w:rPr>
      </w:pPr>
      <w:r>
        <w:rPr>
          <w:rFonts w:hint="eastAsia" w:ascii="方正粗黑宋简体" w:hAnsi="方正粗黑宋简体" w:eastAsia="方正粗黑宋简体" w:cs="宋体"/>
          <w:b/>
          <w:bCs/>
          <w:sz w:val="44"/>
          <w:szCs w:val="44"/>
        </w:rPr>
        <w:t>2024年安徽交运集团汽车销售有限公司4.1</w:t>
      </w:r>
      <w:r>
        <w:rPr>
          <w:rFonts w:hint="eastAsia" w:ascii="方正粗黑宋简体" w:hAnsi="方正粗黑宋简体" w:eastAsia="方正粗黑宋简体" w:cs="宋体"/>
          <w:b/>
          <w:bCs/>
          <w:sz w:val="44"/>
          <w:szCs w:val="44"/>
          <w:lang w:val="en-US" w:eastAsia="zh-CN"/>
        </w:rPr>
        <w:t>7</w:t>
      </w:r>
      <w:r>
        <w:rPr>
          <w:rFonts w:hint="eastAsia" w:ascii="方正粗黑宋简体" w:hAnsi="方正粗黑宋简体" w:eastAsia="方正粗黑宋简体" w:cs="宋体"/>
          <w:b/>
          <w:bCs/>
          <w:sz w:val="44"/>
          <w:szCs w:val="44"/>
        </w:rPr>
        <w:t>公务车辆</w:t>
      </w:r>
      <w:r>
        <w:rPr>
          <w:rFonts w:hint="eastAsia" w:ascii="方正粗黑宋简体" w:hAnsi="方正粗黑宋简体" w:eastAsia="方正粗黑宋简体" w:cs="方正小标宋简体"/>
          <w:b/>
          <w:bCs/>
          <w:kern w:val="0"/>
          <w:sz w:val="44"/>
          <w:szCs w:val="44"/>
        </w:rPr>
        <w:t>采购项目</w:t>
      </w:r>
    </w:p>
    <w:p>
      <w:pPr>
        <w:spacing w:line="540" w:lineRule="exact"/>
        <w:ind w:firstLine="420"/>
        <w:rPr>
          <w:rFonts w:ascii="Times New Roman" w:hAnsi="Times New Roman" w:cs="Times New Roman"/>
          <w:szCs w:val="21"/>
        </w:rPr>
      </w:pPr>
    </w:p>
    <w:p>
      <w:pPr>
        <w:pStyle w:val="5"/>
        <w:rPr>
          <w:rFonts w:ascii="Times New Roman" w:hAnsi="Times New Roman" w:cs="Times New Roman"/>
          <w:szCs w:val="21"/>
        </w:rPr>
      </w:pPr>
    </w:p>
    <w:p>
      <w:pPr>
        <w:pStyle w:val="5"/>
        <w:rPr>
          <w:rFonts w:ascii="Times New Roman" w:hAnsi="Times New Roman" w:cs="Times New Roman"/>
          <w:szCs w:val="21"/>
        </w:rPr>
      </w:pPr>
    </w:p>
    <w:p>
      <w:pPr>
        <w:pStyle w:val="5"/>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  比  文  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采 购 人：</w:t>
      </w:r>
      <w:r>
        <w:rPr>
          <w:rFonts w:hint="eastAsia" w:ascii="Times New Roman" w:hAnsi="Times New Roman" w:eastAsia="黑体" w:cs="Times New Roman"/>
          <w:sz w:val="32"/>
          <w:szCs w:val="32"/>
          <w:u w:val="single"/>
        </w:rPr>
        <w:t>安徽交运集团汽车销售有限公司</w:t>
      </w:r>
    </w:p>
    <w:p>
      <w:pPr>
        <w:snapToGrid w:val="0"/>
        <w:ind w:firstLine="960" w:firstLineChars="300"/>
        <w:rPr>
          <w:rFonts w:ascii="Times New Roman" w:hAnsi="Times New Roman" w:eastAsia="黑体" w:cs="Times New Roman"/>
          <w:sz w:val="32"/>
          <w:szCs w:val="32"/>
          <w:u w:val="single"/>
        </w:rPr>
      </w:pPr>
      <w:r>
        <w:rPr>
          <w:rFonts w:ascii="Times New Roman" w:hAnsi="Times New Roman" w:cs="Times New Roman"/>
          <w:sz w:val="32"/>
          <w:szCs w:val="32"/>
        </w:rPr>
        <w:t xml:space="preserve"> </w:t>
      </w:r>
    </w:p>
    <w:p>
      <w:pPr>
        <w:snapToGrid w:val="0"/>
        <w:ind w:firstLine="960" w:firstLineChars="300"/>
        <w:rPr>
          <w:rFonts w:ascii="Times New Roman" w:hAnsi="Times New Roman" w:eastAsia="黑体" w:cs="Times New Roman"/>
          <w:sz w:val="32"/>
          <w:szCs w:val="32"/>
          <w:u w:val="single"/>
        </w:rPr>
      </w:pPr>
      <w:r>
        <w:rPr>
          <w:rFonts w:ascii="Times New Roman" w:hAnsi="Times New Roman" w:eastAsia="黑体" w:cs="Times New Roman"/>
          <w:sz w:val="32"/>
          <w:szCs w:val="32"/>
        </w:rPr>
        <w:t>日    期：</w:t>
      </w:r>
      <w:r>
        <w:rPr>
          <w:rFonts w:hint="eastAsia" w:ascii="Times New Roman" w:hAnsi="Times New Roman" w:eastAsia="黑体" w:cs="Times New Roman"/>
          <w:sz w:val="32"/>
          <w:szCs w:val="32"/>
          <w:u w:val="single"/>
        </w:rPr>
        <w:t>2024</w:t>
      </w:r>
      <w:r>
        <w:rPr>
          <w:rFonts w:ascii="Times New Roman" w:hAnsi="Times New Roman" w:eastAsia="黑体" w:cs="Times New Roman"/>
          <w:sz w:val="32"/>
          <w:szCs w:val="32"/>
          <w:u w:val="single"/>
        </w:rPr>
        <w:t>年</w:t>
      </w:r>
      <w:r>
        <w:rPr>
          <w:rFonts w:hint="eastAsia" w:ascii="Times New Roman" w:hAnsi="Times New Roman" w:eastAsia="黑体" w:cs="Times New Roman"/>
          <w:sz w:val="32"/>
          <w:szCs w:val="32"/>
          <w:u w:val="single"/>
        </w:rPr>
        <w:t>4</w:t>
      </w:r>
      <w:r>
        <w:rPr>
          <w:rFonts w:ascii="Times New Roman" w:hAnsi="Times New Roman" w:eastAsia="黑体" w:cs="Times New Roman"/>
          <w:sz w:val="32"/>
          <w:szCs w:val="32"/>
          <w:u w:val="single"/>
        </w:rPr>
        <w:t>月</w:t>
      </w:r>
      <w:r>
        <w:rPr>
          <w:rFonts w:hint="eastAsia" w:ascii="Times New Roman" w:hAnsi="Times New Roman" w:eastAsia="黑体" w:cs="Times New Roman"/>
          <w:sz w:val="32"/>
          <w:szCs w:val="32"/>
          <w:u w:val="single"/>
        </w:rPr>
        <w:t>1</w:t>
      </w:r>
      <w:r>
        <w:rPr>
          <w:rFonts w:hint="eastAsia" w:ascii="Times New Roman" w:hAnsi="Times New Roman" w:eastAsia="黑体" w:cs="Times New Roman"/>
          <w:sz w:val="32"/>
          <w:szCs w:val="32"/>
          <w:u w:val="single"/>
          <w:lang w:val="en-US" w:eastAsia="zh-CN"/>
        </w:rPr>
        <w:t>7</w:t>
      </w:r>
      <w:r>
        <w:rPr>
          <w:rFonts w:ascii="Times New Roman" w:hAnsi="Times New Roman" w:eastAsia="黑体" w:cs="Times New Roman"/>
          <w:sz w:val="32"/>
          <w:szCs w:val="32"/>
          <w:u w:val="single"/>
        </w:rPr>
        <w:t>日</w:t>
      </w:r>
    </w:p>
    <w:p>
      <w:pPr>
        <w:ind w:left="1896" w:leftChars="903"/>
        <w:rPr>
          <w:rFonts w:ascii="Times New Roman" w:hAnsi="Times New Roman" w:eastAsia="宋体" w:cs="Times New Roman"/>
          <w:sz w:val="24"/>
        </w:rPr>
        <w:sectPr>
          <w:pgSz w:w="11906" w:h="16838"/>
          <w:pgMar w:top="1440" w:right="1800" w:bottom="1440" w:left="1800" w:header="851" w:footer="992" w:gutter="0"/>
          <w:cols w:space="425" w:num="1"/>
          <w:docGrid w:type="lines" w:linePitch="312" w:charSpace="0"/>
        </w:sectPr>
      </w:pPr>
    </w:p>
    <w:sdt>
      <w:sdtPr>
        <w:rPr>
          <w:rFonts w:hint="eastAsia" w:ascii="黑体" w:hAnsi="黑体" w:eastAsia="黑体" w:cs="黑体"/>
          <w:kern w:val="0"/>
          <w:sz w:val="44"/>
          <w:szCs w:val="44"/>
        </w:rPr>
        <w:id w:val="147481990"/>
        <w:docPartObj>
          <w:docPartGallery w:val="Table of Contents"/>
          <w:docPartUnique/>
        </w:docPartObj>
      </w:sdtPr>
      <w:sdtEndPr>
        <w:rPr>
          <w:rFonts w:hint="eastAsia" w:asciiTheme="minorHAnsi" w:hAnsiTheme="minorHAnsi" w:eastAsiaTheme="minorEastAsia" w:cstheme="minorBidi"/>
          <w:kern w:val="0"/>
          <w:sz w:val="20"/>
          <w:szCs w:val="20"/>
        </w:rPr>
      </w:sdtEndPr>
      <w:sdtContent>
        <w:p>
          <w:pPr>
            <w:jc w:val="center"/>
            <w:rPr>
              <w:rFonts w:ascii="黑体" w:hAnsi="黑体" w:eastAsia="黑体" w:cs="黑体"/>
              <w:sz w:val="44"/>
              <w:szCs w:val="44"/>
            </w:rPr>
          </w:pPr>
          <w:bookmarkStart w:id="0" w:name="_Toc13148_WPSOffice_Type1"/>
        </w:p>
        <w:p>
          <w:pPr>
            <w:jc w:val="center"/>
            <w:rPr>
              <w:rFonts w:ascii="黑体" w:hAnsi="黑体" w:eastAsia="黑体" w:cs="黑体"/>
              <w:sz w:val="44"/>
              <w:szCs w:val="44"/>
            </w:rPr>
          </w:pPr>
          <w:r>
            <w:rPr>
              <w:rFonts w:hint="eastAsia" w:ascii="黑体" w:hAnsi="黑体" w:eastAsia="黑体" w:cs="黑体"/>
              <w:sz w:val="44"/>
              <w:szCs w:val="44"/>
            </w:rPr>
            <w:t>目  录</w:t>
          </w:r>
        </w:p>
        <w:p>
          <w:pPr>
            <w:pStyle w:val="5"/>
          </w:pPr>
        </w:p>
        <w:p>
          <w:pPr>
            <w:pStyle w:val="20"/>
            <w:tabs>
              <w:tab w:val="right" w:leader="dot" w:pos="8312"/>
            </w:tabs>
            <w:rPr>
              <w:rFonts w:ascii="Times New Roman" w:hAnsi="Times New Roman" w:cs="Times New Roman"/>
              <w:sz w:val="28"/>
              <w:szCs w:val="28"/>
            </w:rPr>
          </w:pPr>
          <w:r>
            <w:fldChar w:fldCharType="begin"/>
          </w:r>
          <w:r>
            <w:instrText xml:space="preserve"> HYPERLINK \l "_Toc6425_WPSOffice_Level1" </w:instrText>
          </w:r>
          <w:r>
            <w:fldChar w:fldCharType="separate"/>
          </w:r>
          <w:r>
            <w:rPr>
              <w:rFonts w:ascii="Times New Roman" w:hAnsi="Times New Roman" w:eastAsia="宋体" w:cs="Times New Roman"/>
              <w:sz w:val="28"/>
              <w:szCs w:val="28"/>
            </w:rPr>
            <w:t>第一章 采购公告</w:t>
          </w:r>
          <w:r>
            <w:rPr>
              <w:rFonts w:ascii="Times New Roman" w:hAnsi="Times New Roman" w:eastAsia="宋体" w:cs="Times New Roman"/>
              <w:sz w:val="28"/>
              <w:szCs w:val="28"/>
            </w:rP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"_Toc3807_WPSOffice_Level1" </w:instrText>
          </w:r>
          <w:r>
            <w:fldChar w:fldCharType="separate"/>
          </w:r>
          <w:r>
            <w:rPr>
              <w:rFonts w:ascii="Times New Roman" w:hAnsi="Times New Roman" w:eastAsia="宋体" w:cs="Times New Roman"/>
              <w:sz w:val="28"/>
              <w:szCs w:val="28"/>
            </w:rPr>
            <w:t>第二章 供应商须知</w:t>
          </w:r>
          <w:r>
            <w:rPr>
              <w:rFonts w:ascii="Times New Roman" w:hAnsi="Times New Roman" w:eastAsia="宋体" w:cs="Times New Roman"/>
              <w:sz w:val="28"/>
              <w:szCs w:val="28"/>
            </w:rP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"_Toc18182_WPSOffice_Level1" </w:instrText>
          </w:r>
          <w:r>
            <w:fldChar w:fldCharType="separate"/>
          </w:r>
          <w:r>
            <w:rPr>
              <w:rFonts w:ascii="Times New Roman" w:hAnsi="Times New Roman" w:eastAsia="宋体" w:cs="Times New Roman"/>
              <w:sz w:val="28"/>
              <w:szCs w:val="28"/>
            </w:rPr>
            <w:t>第三章 评审办法</w:t>
          </w:r>
          <w:r>
            <w:rPr>
              <w:rFonts w:ascii="Times New Roman" w:hAnsi="Times New Roman" w:eastAsia="宋体" w:cs="Times New Roman"/>
              <w:sz w:val="28"/>
              <w:szCs w:val="28"/>
            </w:rP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"_Toc10990_WPSOffice_Level1" </w:instrText>
          </w:r>
          <w:r>
            <w:fldChar w:fldCharType="separate"/>
          </w:r>
          <w:r>
            <w:rPr>
              <w:rFonts w:ascii="Times New Roman" w:hAnsi="Times New Roman" w:eastAsia="宋体" w:cs="Times New Roman"/>
              <w:sz w:val="28"/>
              <w:szCs w:val="28"/>
            </w:rPr>
            <w:t>第四章 合同内容</w:t>
          </w:r>
          <w:r>
            <w:rPr>
              <w:rFonts w:ascii="Times New Roman" w:hAnsi="Times New Roman" w:eastAsia="宋体" w:cs="Times New Roman"/>
              <w:sz w:val="28"/>
              <w:szCs w:val="28"/>
            </w:rP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"_Toc21707_WPSOffice_Level1" </w:instrText>
          </w:r>
          <w:r>
            <w:fldChar w:fldCharType="separate"/>
          </w:r>
          <w:r>
            <w:rPr>
              <w:rFonts w:ascii="Times New Roman" w:hAnsi="Times New Roman" w:eastAsia="宋体" w:cs="Times New Roman"/>
              <w:sz w:val="28"/>
              <w:szCs w:val="28"/>
            </w:rPr>
            <w:t>第五章 采购需求及清单</w:t>
          </w:r>
          <w:r>
            <w:rPr>
              <w:rFonts w:ascii="Times New Roman" w:hAnsi="Times New Roman" w:eastAsia="宋体" w:cs="Times New Roman"/>
              <w:sz w:val="28"/>
              <w:szCs w:val="28"/>
            </w:rPr>
            <w:fldChar w:fldCharType="end"/>
          </w:r>
        </w:p>
        <w:p>
          <w:pPr>
            <w:pStyle w:val="20"/>
            <w:tabs>
              <w:tab w:val="right" w:leader="dot" w:pos="8312"/>
            </w:tabs>
            <w:rPr>
              <w:rFonts w:ascii="Times New Roman" w:hAnsi="Times New Roman" w:cs="Times New Roman"/>
            </w:rPr>
          </w:pPr>
          <w:r>
            <w:fldChar w:fldCharType="begin"/>
          </w:r>
          <w:r>
            <w:instrText xml:space="preserve"> HYPERLINK \l "_Toc9834_WPSOffice_Level1" </w:instrText>
          </w:r>
          <w:r>
            <w:fldChar w:fldCharType="separate"/>
          </w:r>
          <w:r>
            <w:rPr>
              <w:rFonts w:ascii="Times New Roman" w:hAnsi="Times New Roman" w:eastAsia="宋体" w:cs="Times New Roman"/>
              <w:sz w:val="28"/>
              <w:szCs w:val="28"/>
            </w:rPr>
            <w:t>第六章 响应文件格式</w:t>
          </w:r>
          <w:r>
            <w:rPr>
              <w:rFonts w:ascii="Times New Roman" w:hAnsi="Times New Roman" w:eastAsia="宋体" w:cs="Times New Roman"/>
              <w:sz w:val="28"/>
              <w:szCs w:val="28"/>
            </w:rPr>
            <w:fldChar w:fldCharType="end"/>
          </w:r>
        </w:p>
        <w:p>
          <w:pPr>
            <w:pStyle w:val="20"/>
            <w:tabs>
              <w:tab w:val="right" w:leader="dot" w:pos="8312"/>
            </w:tabs>
          </w:pPr>
        </w:p>
      </w:sdtContent>
    </w:sdt>
    <w:bookmarkEnd w:id="0"/>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2"/>
        <w:spacing w:before="312" w:after="312"/>
        <w:rPr>
          <w:rFonts w:ascii="Times New Roman" w:hAnsi="Times New Roman" w:eastAsia="宋体" w:cs="Times New Roman"/>
        </w:rPr>
      </w:pPr>
      <w:bookmarkStart w:id="1" w:name="_Toc6425_WPSOffice_Level1"/>
      <w:r>
        <w:rPr>
          <w:rFonts w:ascii="Times New Roman" w:hAnsi="Times New Roman" w:eastAsia="宋体" w:cs="Times New Roman"/>
        </w:rPr>
        <w:t>采购公告</w:t>
      </w:r>
      <w:bookmarkEnd w:id="1"/>
    </w:p>
    <w:p>
      <w:pPr>
        <w:pStyle w:val="3"/>
        <w:snapToGrid w:val="0"/>
        <w:spacing w:before="120" w:after="120" w:line="560" w:lineRule="exact"/>
        <w:ind w:firstLine="403"/>
        <w:rPr>
          <w:rFonts w:ascii="宋体" w:hAnsi="宋体" w:eastAsia="宋体" w:cs="宋体"/>
          <w:bCs w:val="0"/>
          <w:sz w:val="21"/>
          <w:szCs w:val="21"/>
        </w:rPr>
      </w:pPr>
      <w:bookmarkStart w:id="2" w:name="_Toc12765"/>
      <w:bookmarkStart w:id="3" w:name="_Toc10395_WPSOffice_Level2"/>
      <w:bookmarkStart w:id="4" w:name="_Toc525632585"/>
      <w:bookmarkStart w:id="5" w:name="_Toc6496_WPSOffice_Level2"/>
      <w:bookmarkStart w:id="6" w:name="_Toc13871"/>
      <w:bookmarkStart w:id="7" w:name="_Toc4489_WPSOffice_Level2"/>
      <w:bookmarkStart w:id="8" w:name="_Toc24354_WPSOffice_Level2"/>
      <w:r>
        <w:rPr>
          <w:rFonts w:hint="eastAsia" w:ascii="宋体" w:hAnsi="宋体" w:eastAsia="宋体" w:cs="宋体"/>
          <w:bCs w:val="0"/>
          <w:sz w:val="21"/>
          <w:szCs w:val="21"/>
        </w:rPr>
        <w:t>项目简介</w:t>
      </w:r>
      <w:bookmarkEnd w:id="2"/>
      <w:bookmarkEnd w:id="3"/>
      <w:bookmarkEnd w:id="4"/>
      <w:bookmarkEnd w:id="5"/>
      <w:bookmarkEnd w:id="6"/>
      <w:bookmarkEnd w:id="7"/>
      <w:bookmarkEnd w:id="8"/>
    </w:p>
    <w:p>
      <w:pPr>
        <w:widowControl/>
        <w:ind w:firstLine="420" w:firstLineChars="200"/>
        <w:rPr>
          <w:rFonts w:ascii="宋体" w:hAnsi="宋体" w:eastAsia="宋体" w:cs="宋体"/>
          <w:szCs w:val="21"/>
          <w:u w:val="single"/>
        </w:rPr>
      </w:pPr>
      <w:r>
        <w:rPr>
          <w:rFonts w:hint="eastAsia" w:ascii="宋体" w:hAnsi="宋体" w:eastAsia="宋体" w:cs="宋体"/>
          <w:szCs w:val="21"/>
        </w:rPr>
        <w:t>1.1 项目名称：</w:t>
      </w:r>
      <w:r>
        <w:rPr>
          <w:rFonts w:hint="eastAsia" w:ascii="宋体" w:hAnsi="宋体" w:eastAsia="宋体" w:cs="宋体"/>
          <w:szCs w:val="21"/>
          <w:u w:val="single"/>
        </w:rPr>
        <w:t xml:space="preserve"> 2024年安徽交运集团汽车销售有限公司4.1</w:t>
      </w:r>
      <w:r>
        <w:rPr>
          <w:rFonts w:hint="eastAsia" w:ascii="宋体" w:hAnsi="宋体" w:eastAsia="宋体" w:cs="宋体"/>
          <w:szCs w:val="21"/>
          <w:u w:val="single"/>
          <w:lang w:val="en-US" w:eastAsia="zh-CN"/>
        </w:rPr>
        <w:t>7</w:t>
      </w:r>
      <w:r>
        <w:rPr>
          <w:rFonts w:hint="eastAsia" w:ascii="宋体" w:hAnsi="宋体" w:eastAsia="宋体" w:cs="宋体"/>
          <w:szCs w:val="21"/>
          <w:u w:val="single"/>
        </w:rPr>
        <w:t>公务车辆采购项目</w:t>
      </w:r>
    </w:p>
    <w:p>
      <w:pPr>
        <w:snapToGrid w:val="0"/>
        <w:spacing w:line="560" w:lineRule="exact"/>
        <w:ind w:firstLine="420" w:firstLineChars="200"/>
        <w:rPr>
          <w:rFonts w:ascii="宋体" w:hAnsi="宋体" w:eastAsia="宋体" w:cs="宋体"/>
          <w:szCs w:val="21"/>
        </w:rPr>
      </w:pPr>
      <w:r>
        <w:rPr>
          <w:rFonts w:hint="eastAsia" w:ascii="宋体" w:hAnsi="宋体" w:eastAsia="宋体" w:cs="宋体"/>
          <w:szCs w:val="21"/>
        </w:rPr>
        <w:t>1.2 采 购 人：</w:t>
      </w:r>
      <w:r>
        <w:rPr>
          <w:rFonts w:hint="eastAsia" w:ascii="宋体" w:hAnsi="宋体" w:eastAsia="宋体" w:cs="宋体"/>
          <w:szCs w:val="21"/>
          <w:u w:val="single"/>
        </w:rPr>
        <w:t xml:space="preserve"> 安徽交运集团汽车销售有限公司</w:t>
      </w:r>
    </w:p>
    <w:p>
      <w:pPr>
        <w:snapToGrid w:val="0"/>
        <w:spacing w:line="440" w:lineRule="exact"/>
        <w:ind w:firstLine="420" w:firstLineChars="200"/>
        <w:rPr>
          <w:rFonts w:ascii="宋体" w:hAnsi="宋体" w:eastAsia="宋体" w:cs="宋体"/>
          <w:szCs w:val="21"/>
        </w:rPr>
      </w:pPr>
      <w:r>
        <w:rPr>
          <w:rFonts w:hint="eastAsia" w:ascii="宋体" w:hAnsi="宋体" w:eastAsia="宋体" w:cs="宋体"/>
          <w:szCs w:val="21"/>
        </w:rPr>
        <w:t>1.3 项目概况：</w:t>
      </w:r>
      <w:r>
        <w:rPr>
          <w:rFonts w:hint="eastAsia" w:ascii="宋体" w:hAnsi="宋体" w:eastAsia="宋体" w:cs="宋体"/>
          <w:szCs w:val="21"/>
          <w:u w:val="single"/>
        </w:rPr>
        <w:t xml:space="preserve"> 采购1台轿车，1台中型客车，2台越野车</w:t>
      </w:r>
    </w:p>
    <w:p>
      <w:pPr>
        <w:pStyle w:val="3"/>
        <w:snapToGrid w:val="0"/>
        <w:spacing w:before="120" w:after="120" w:line="560" w:lineRule="exact"/>
        <w:ind w:firstLine="403"/>
        <w:rPr>
          <w:rFonts w:ascii="宋体" w:hAnsi="宋体" w:eastAsia="宋体" w:cs="宋体"/>
          <w:bCs w:val="0"/>
          <w:sz w:val="21"/>
          <w:szCs w:val="21"/>
        </w:rPr>
      </w:pPr>
      <w:bookmarkStart w:id="9" w:name="_Toc18367_WPSOffice_Level2"/>
      <w:bookmarkStart w:id="10" w:name="_Toc8128_WPSOffice_Level2"/>
      <w:bookmarkStart w:id="11" w:name="_Toc17858_WPSOffice_Level2"/>
      <w:bookmarkStart w:id="12" w:name="_Toc18453"/>
      <w:bookmarkStart w:id="13" w:name="_Toc23266_WPSOffice_Level2"/>
      <w:bookmarkStart w:id="14" w:name="_Toc525632586"/>
      <w:bookmarkStart w:id="15" w:name="_Toc10274"/>
      <w:r>
        <w:rPr>
          <w:rFonts w:hint="eastAsia" w:ascii="宋体" w:hAnsi="宋体" w:eastAsia="宋体" w:cs="宋体"/>
          <w:bCs w:val="0"/>
          <w:sz w:val="21"/>
          <w:szCs w:val="21"/>
        </w:rPr>
        <w:t>采购说明</w:t>
      </w:r>
      <w:bookmarkEnd w:id="9"/>
      <w:bookmarkEnd w:id="10"/>
      <w:bookmarkEnd w:id="11"/>
      <w:bookmarkEnd w:id="12"/>
      <w:bookmarkEnd w:id="13"/>
      <w:bookmarkEnd w:id="14"/>
      <w:bookmarkEnd w:id="15"/>
    </w:p>
    <w:p>
      <w:pPr>
        <w:snapToGrid w:val="0"/>
        <w:spacing w:line="480" w:lineRule="auto"/>
        <w:ind w:firstLine="420" w:firstLineChars="200"/>
        <w:rPr>
          <w:rFonts w:ascii="宋体" w:hAnsi="宋体" w:eastAsia="宋体" w:cs="宋体"/>
          <w:szCs w:val="21"/>
          <w:u w:val="single"/>
        </w:rPr>
      </w:pPr>
      <w:bookmarkStart w:id="16" w:name="_Toc4489_WPSOffice_Level3"/>
      <w:r>
        <w:rPr>
          <w:rFonts w:hint="eastAsia" w:ascii="宋体" w:hAnsi="宋体" w:eastAsia="宋体" w:cs="宋体"/>
          <w:szCs w:val="21"/>
        </w:rPr>
        <w:t>2.1 采购方式：</w:t>
      </w:r>
      <w:bookmarkEnd w:id="16"/>
      <w:r>
        <w:rPr>
          <w:rFonts w:hint="eastAsia" w:ascii="宋体" w:hAnsi="宋体" w:eastAsia="宋体" w:cs="宋体"/>
          <w:szCs w:val="21"/>
          <w:u w:val="single"/>
        </w:rPr>
        <w:t>公开询比采购</w:t>
      </w:r>
    </w:p>
    <w:p>
      <w:pPr>
        <w:snapToGrid w:val="0"/>
        <w:spacing w:line="480" w:lineRule="auto"/>
        <w:ind w:firstLine="420" w:firstLineChars="200"/>
        <w:rPr>
          <w:rFonts w:ascii="宋体" w:hAnsi="宋体" w:eastAsia="宋体" w:cs="宋体"/>
          <w:szCs w:val="21"/>
          <w:u w:val="single"/>
        </w:rPr>
      </w:pPr>
      <w:bookmarkStart w:id="17" w:name="_Toc23266_WPSOffice_Level3"/>
      <w:r>
        <w:rPr>
          <w:rFonts w:hint="eastAsia" w:ascii="宋体" w:hAnsi="宋体" w:eastAsia="宋体" w:cs="宋体"/>
          <w:szCs w:val="21"/>
        </w:rPr>
        <w:t>2.2 资金来源及比例：</w:t>
      </w:r>
      <w:bookmarkEnd w:id="17"/>
      <w:bookmarkStart w:id="18" w:name="_Toc22379_WPSOffice_Level3"/>
      <w:r>
        <w:rPr>
          <w:rFonts w:hint="eastAsia" w:ascii="宋体" w:hAnsi="宋体" w:eastAsia="宋体" w:cs="宋体"/>
          <w:szCs w:val="21"/>
          <w:u w:val="single"/>
        </w:rPr>
        <w:t>企业自筹</w:t>
      </w:r>
    </w:p>
    <w:p>
      <w:pPr>
        <w:snapToGrid w:val="0"/>
        <w:spacing w:line="480" w:lineRule="auto"/>
        <w:ind w:firstLine="420" w:firstLineChars="200"/>
        <w:rPr>
          <w:rFonts w:ascii="宋体" w:hAnsi="宋体" w:eastAsia="宋体" w:cs="宋体"/>
          <w:szCs w:val="21"/>
          <w:u w:val="single"/>
        </w:rPr>
      </w:pPr>
      <w:r>
        <w:rPr>
          <w:rFonts w:hint="eastAsia" w:ascii="宋体" w:hAnsi="宋体" w:eastAsia="宋体" w:cs="宋体"/>
          <w:szCs w:val="21"/>
        </w:rPr>
        <w:t>2.3 采购范围：</w:t>
      </w:r>
      <w:r>
        <w:rPr>
          <w:rFonts w:hint="eastAsia" w:ascii="宋体" w:hAnsi="宋体" w:eastAsia="宋体" w:cs="宋体"/>
          <w:szCs w:val="21"/>
          <w:u w:val="single"/>
        </w:rPr>
        <w:t>采购1台轿车，1台中型客车，2台越野车</w:t>
      </w:r>
    </w:p>
    <w:p>
      <w:pPr>
        <w:snapToGrid w:val="0"/>
        <w:spacing w:line="480" w:lineRule="auto"/>
        <w:ind w:firstLine="420" w:firstLineChars="200"/>
        <w:rPr>
          <w:rFonts w:ascii="宋体" w:hAnsi="宋体" w:eastAsia="宋体" w:cs="宋体"/>
          <w:szCs w:val="21"/>
          <w:u w:val="single"/>
        </w:rPr>
      </w:pPr>
      <w:r>
        <w:rPr>
          <w:rFonts w:hint="eastAsia" w:ascii="宋体" w:hAnsi="宋体" w:eastAsia="宋体" w:cs="宋体"/>
          <w:szCs w:val="21"/>
        </w:rPr>
        <w:t>2.4 合同包划分：</w:t>
      </w:r>
      <w:r>
        <w:rPr>
          <w:rFonts w:hint="eastAsia" w:ascii="宋体" w:hAnsi="宋体" w:eastAsia="宋体" w:cs="宋体"/>
          <w:szCs w:val="21"/>
          <w:u w:val="single"/>
        </w:rPr>
        <w:t>采购别克越行版  1台 为1包 限价 18万；采购江铃福顺15座 豪华型 1台 为2包 限价25万；采购广汽传祺GS4 PLUS 星系 2台 为3包 限价 32万</w:t>
      </w:r>
    </w:p>
    <w:p>
      <w:pPr>
        <w:snapToGrid w:val="0"/>
        <w:spacing w:line="480" w:lineRule="auto"/>
        <w:ind w:firstLine="420" w:firstLineChars="200"/>
        <w:rPr>
          <w:rFonts w:ascii="宋体" w:hAnsi="宋体" w:eastAsia="宋体" w:cs="宋体"/>
          <w:szCs w:val="21"/>
          <w:u w:val="single"/>
        </w:rPr>
      </w:pPr>
      <w:r>
        <w:rPr>
          <w:rFonts w:hint="eastAsia" w:ascii="宋体" w:hAnsi="宋体" w:eastAsia="宋体" w:cs="宋体"/>
          <w:szCs w:val="21"/>
        </w:rPr>
        <w:t>2.5 最高限价：</w:t>
      </w:r>
      <w:bookmarkEnd w:id="18"/>
      <w:r>
        <w:rPr>
          <w:rFonts w:hint="eastAsia" w:ascii="宋体" w:hAnsi="宋体" w:eastAsia="宋体" w:cs="宋体"/>
          <w:szCs w:val="21"/>
          <w:u w:val="single"/>
        </w:rPr>
        <w:t xml:space="preserve"> 75万（含购置税）</w:t>
      </w:r>
      <w:bookmarkStart w:id="139" w:name="_GoBack"/>
      <w:bookmarkEnd w:id="139"/>
    </w:p>
    <w:p>
      <w:pPr>
        <w:snapToGrid w:val="0"/>
        <w:spacing w:line="480" w:lineRule="auto"/>
        <w:ind w:firstLine="420" w:firstLineChars="200"/>
        <w:rPr>
          <w:rFonts w:hint="eastAsia" w:ascii="宋体" w:hAnsi="宋体" w:eastAsia="宋体" w:cs="宋体"/>
          <w:szCs w:val="21"/>
          <w:u w:val="single"/>
          <w:lang w:val="en-US" w:eastAsia="zh-CN"/>
        </w:rPr>
      </w:pPr>
      <w:r>
        <w:rPr>
          <w:rFonts w:hint="eastAsia" w:ascii="宋体" w:hAnsi="宋体" w:eastAsia="宋体" w:cs="宋体"/>
          <w:szCs w:val="21"/>
        </w:rPr>
        <w:t>2.6 计划交货期：</w:t>
      </w:r>
      <w:r>
        <w:rPr>
          <w:rFonts w:hint="eastAsia" w:ascii="宋体" w:hAnsi="宋体" w:eastAsia="宋体" w:cs="宋体"/>
          <w:szCs w:val="21"/>
          <w:u w:val="single"/>
        </w:rPr>
        <w:t xml:space="preserve"> 合同签订后30日内完成交货</w:t>
      </w:r>
      <w:r>
        <w:rPr>
          <w:rFonts w:hint="eastAsia" w:ascii="宋体" w:hAnsi="宋体" w:eastAsia="宋体" w:cs="宋体"/>
          <w:szCs w:val="21"/>
          <w:u w:val="single"/>
          <w:lang w:val="en-US" w:eastAsia="zh-CN"/>
        </w:rPr>
        <w:t xml:space="preserve"> </w:t>
      </w:r>
    </w:p>
    <w:p>
      <w:pPr>
        <w:pStyle w:val="3"/>
        <w:snapToGrid w:val="0"/>
        <w:spacing w:before="120" w:after="120" w:line="560" w:lineRule="exact"/>
        <w:ind w:firstLine="403"/>
        <w:rPr>
          <w:rFonts w:ascii="宋体" w:hAnsi="宋体" w:eastAsia="宋体" w:cs="宋体"/>
          <w:bCs w:val="0"/>
          <w:sz w:val="21"/>
          <w:szCs w:val="21"/>
        </w:rPr>
      </w:pPr>
      <w:bookmarkStart w:id="19" w:name="_Toc22379_WPSOffice_Level2"/>
      <w:bookmarkStart w:id="20" w:name="_Toc6388"/>
      <w:bookmarkStart w:id="21" w:name="_Toc31673_WPSOffice_Level2"/>
      <w:bookmarkStart w:id="22" w:name="_Toc1622_WPSOffice_Level2"/>
      <w:bookmarkStart w:id="23" w:name="_Toc525632587"/>
      <w:bookmarkStart w:id="24" w:name="_Toc3714"/>
      <w:bookmarkStart w:id="25" w:name="_Toc29516_WPSOffice_Level2"/>
      <w:r>
        <w:rPr>
          <w:rFonts w:hint="eastAsia" w:ascii="宋体" w:hAnsi="宋体" w:eastAsia="宋体" w:cs="宋体"/>
          <w:bCs w:val="0"/>
          <w:sz w:val="21"/>
          <w:szCs w:val="21"/>
        </w:rPr>
        <w:t>供应商资格条件</w:t>
      </w:r>
      <w:bookmarkEnd w:id="19"/>
      <w:bookmarkEnd w:id="20"/>
      <w:bookmarkEnd w:id="21"/>
      <w:bookmarkEnd w:id="22"/>
      <w:bookmarkEnd w:id="23"/>
      <w:bookmarkEnd w:id="24"/>
      <w:bookmarkEnd w:id="25"/>
    </w:p>
    <w:p>
      <w:pPr>
        <w:snapToGrid w:val="0"/>
        <w:spacing w:line="560" w:lineRule="exact"/>
        <w:ind w:firstLine="420" w:firstLineChars="200"/>
        <w:rPr>
          <w:rFonts w:ascii="宋体" w:hAnsi="宋体" w:eastAsia="宋体" w:cs="宋体"/>
          <w:szCs w:val="21"/>
        </w:rPr>
      </w:pPr>
      <w:r>
        <w:rPr>
          <w:rFonts w:hint="eastAsia" w:ascii="宋体" w:hAnsi="宋体" w:eastAsia="宋体" w:cs="宋体"/>
          <w:szCs w:val="21"/>
        </w:rPr>
        <w:t>3.1 本次采购要求供应商须同时具备：</w:t>
      </w:r>
    </w:p>
    <w:p>
      <w:pPr>
        <w:snapToGrid w:val="0"/>
        <w:spacing w:line="560" w:lineRule="exact"/>
        <w:ind w:firstLine="420" w:firstLineChars="200"/>
        <w:rPr>
          <w:rFonts w:ascii="宋体" w:hAnsi="宋体" w:eastAsia="宋体" w:cs="宋体"/>
          <w:szCs w:val="21"/>
        </w:rPr>
      </w:pPr>
      <w:r>
        <w:rPr>
          <w:rFonts w:hint="eastAsia" w:ascii="宋体" w:hAnsi="宋体" w:eastAsia="宋体" w:cs="宋体"/>
          <w:szCs w:val="21"/>
        </w:rPr>
        <w:t>（1）资质最低要求：</w:t>
      </w:r>
    </w:p>
    <w:p>
      <w:pPr>
        <w:snapToGrid w:val="0"/>
        <w:spacing w:line="560" w:lineRule="exact"/>
        <w:ind w:firstLine="420" w:firstLineChars="200"/>
        <w:rPr>
          <w:rFonts w:ascii="宋体" w:hAnsi="宋体" w:eastAsia="宋体" w:cs="宋体"/>
          <w:szCs w:val="21"/>
        </w:rPr>
      </w:pPr>
      <w:r>
        <w:rPr>
          <w:rFonts w:hint="eastAsia" w:ascii="宋体" w:hAnsi="宋体" w:eastAsia="宋体" w:cs="宋体"/>
          <w:szCs w:val="21"/>
        </w:rPr>
        <w:t>供应商应具备车辆的销售资质，具备独立法人资格，持有有效的营业执照；</w:t>
      </w:r>
    </w:p>
    <w:p>
      <w:pPr>
        <w:pStyle w:val="12"/>
        <w:widowControl/>
        <w:shd w:val="clear" w:color="auto" w:fill="FFFFFF"/>
        <w:spacing w:beforeAutospacing="0" w:afterAutospacing="0" w:line="560" w:lineRule="exact"/>
        <w:ind w:firstLine="420"/>
        <w:rPr>
          <w:rFonts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shd w:val="clear" w:color="auto" w:fill="FFFFFF"/>
        </w:rPr>
        <w:t>业绩最低要求：</w:t>
      </w:r>
    </w:p>
    <w:p>
      <w:pPr>
        <w:pStyle w:val="12"/>
        <w:widowControl/>
        <w:shd w:val="clear" w:color="auto" w:fill="FFFFFF"/>
        <w:spacing w:beforeAutospacing="0" w:afterAutospacing="0" w:line="560" w:lineRule="exact"/>
        <w:ind w:firstLine="420"/>
        <w:rPr>
          <w:rFonts w:ascii="宋体" w:hAnsi="宋体" w:eastAsia="宋体" w:cs="宋体"/>
          <w:sz w:val="21"/>
          <w:szCs w:val="21"/>
        </w:rPr>
      </w:pPr>
      <w:r>
        <w:rPr>
          <w:rFonts w:hint="eastAsia" w:ascii="宋体" w:hAnsi="宋体" w:eastAsia="宋体" w:cs="宋体"/>
          <w:sz w:val="21"/>
          <w:szCs w:val="21"/>
          <w:shd w:val="clear" w:color="auto" w:fill="FFFFFF"/>
        </w:rPr>
        <w:t>近3年（时间以响应文件递交截止日期为准）具备汽车销售业绩，销售车辆不得少于1台。</w:t>
      </w:r>
    </w:p>
    <w:p>
      <w:pPr>
        <w:snapToGrid w:val="0"/>
        <w:spacing w:line="560" w:lineRule="exact"/>
        <w:ind w:firstLine="420" w:firstLineChars="200"/>
        <w:rPr>
          <w:rFonts w:ascii="宋体" w:hAnsi="宋体" w:eastAsia="宋体" w:cs="宋体"/>
          <w:szCs w:val="21"/>
        </w:rPr>
      </w:pPr>
      <w:r>
        <w:rPr>
          <w:rFonts w:hint="eastAsia" w:ascii="宋体" w:hAnsi="宋体" w:eastAsia="宋体" w:cs="宋体"/>
          <w:szCs w:val="21"/>
        </w:rPr>
        <w:t>（3）信誉要求最低要求：</w:t>
      </w:r>
    </w:p>
    <w:p>
      <w:pPr>
        <w:snapToGrid w:val="0"/>
        <w:spacing w:line="560" w:lineRule="exact"/>
        <w:ind w:firstLine="420" w:firstLineChars="200"/>
        <w:rPr>
          <w:rFonts w:ascii="宋体" w:hAnsi="宋体" w:eastAsia="宋体" w:cs="宋体"/>
          <w:szCs w:val="21"/>
        </w:rPr>
      </w:pPr>
      <w:r>
        <w:rPr>
          <w:rFonts w:hint="eastAsia" w:ascii="宋体" w:hAnsi="宋体" w:eastAsia="宋体" w:cs="宋体"/>
          <w:szCs w:val="21"/>
        </w:rPr>
        <w:t>①未被责令停业，暂扣或吊销执照，或吊销资质证书；</w:t>
      </w:r>
    </w:p>
    <w:p>
      <w:pPr>
        <w:snapToGrid w:val="0"/>
        <w:spacing w:line="560" w:lineRule="exact"/>
        <w:ind w:firstLine="420" w:firstLineChars="200"/>
        <w:rPr>
          <w:rFonts w:ascii="宋体" w:hAnsi="宋体" w:eastAsia="宋体" w:cs="宋体"/>
          <w:szCs w:val="21"/>
        </w:rPr>
      </w:pPr>
      <w:r>
        <w:rPr>
          <w:rFonts w:hint="eastAsia" w:ascii="宋体" w:hAnsi="宋体" w:eastAsia="宋体" w:cs="宋体"/>
          <w:szCs w:val="21"/>
        </w:rPr>
        <w:t>②未进入清算程序，或被宣告破产，或其他丧失履约能力的情形；</w:t>
      </w:r>
    </w:p>
    <w:p>
      <w:pPr>
        <w:snapToGrid w:val="0"/>
        <w:spacing w:line="560" w:lineRule="exact"/>
        <w:ind w:firstLine="420" w:firstLineChars="200"/>
        <w:rPr>
          <w:rFonts w:ascii="宋体" w:hAnsi="宋体" w:eastAsia="宋体" w:cs="宋体"/>
          <w:szCs w:val="21"/>
        </w:rPr>
      </w:pPr>
      <w:r>
        <w:rPr>
          <w:rFonts w:hint="eastAsia" w:ascii="宋体" w:hAnsi="宋体" w:eastAsia="宋体" w:cs="宋体"/>
          <w:szCs w:val="21"/>
        </w:rPr>
        <w:t>③在国家企业信用信息公示系统（http://www.gsxt.gov.cn）中未被列入严重违法失信企业名单；</w:t>
      </w:r>
    </w:p>
    <w:p>
      <w:pPr>
        <w:snapToGrid w:val="0"/>
        <w:spacing w:line="560" w:lineRule="exact"/>
        <w:ind w:firstLine="420" w:firstLineChars="200"/>
        <w:rPr>
          <w:rFonts w:ascii="宋体" w:hAnsi="宋体" w:eastAsia="宋体" w:cs="宋体"/>
          <w:szCs w:val="21"/>
        </w:rPr>
      </w:pPr>
      <w:r>
        <w:rPr>
          <w:rFonts w:hint="eastAsia" w:ascii="宋体" w:hAnsi="宋体" w:eastAsia="宋体" w:cs="宋体"/>
          <w:szCs w:val="21"/>
        </w:rPr>
        <w:t>④在“信用中国”网站（http://www.creditchina.gov.cn）中未被列入失信被执行人名单；</w:t>
      </w:r>
    </w:p>
    <w:p>
      <w:pPr>
        <w:snapToGrid w:val="0"/>
        <w:spacing w:line="560" w:lineRule="exact"/>
        <w:ind w:firstLine="420" w:firstLineChars="200"/>
        <w:rPr>
          <w:rFonts w:ascii="宋体" w:hAnsi="宋体" w:eastAsia="宋体" w:cs="宋体"/>
          <w:szCs w:val="21"/>
        </w:rPr>
      </w:pPr>
      <w:r>
        <w:rPr>
          <w:rFonts w:hint="eastAsia" w:ascii="宋体" w:hAnsi="宋体" w:eastAsia="宋体" w:cs="宋体"/>
          <w:szCs w:val="21"/>
        </w:rPr>
        <w:t>⑤在近三年内（自响应文件递交截止之日向前追溯3年）供应商或其法定代表人未有行贿犯罪行为；</w:t>
      </w:r>
    </w:p>
    <w:p>
      <w:pPr>
        <w:pStyle w:val="13"/>
        <w:spacing w:line="560" w:lineRule="exact"/>
        <w:ind w:left="0" w:leftChars="0"/>
        <w:rPr>
          <w:rFonts w:ascii="宋体" w:hAnsi="宋体" w:eastAsia="宋体" w:cs="宋体"/>
          <w:szCs w:val="21"/>
        </w:rPr>
      </w:pPr>
      <w:r>
        <w:rPr>
          <w:rFonts w:hint="eastAsia" w:ascii="宋体" w:hAnsi="宋体" w:eastAsia="宋体" w:cs="宋体"/>
          <w:szCs w:val="21"/>
          <w:shd w:val="clear" w:color="auto" w:fill="FFFFFF"/>
        </w:rPr>
        <w:t>⑥其他要求：没有法律法规规定的其他违规情形。</w:t>
      </w:r>
    </w:p>
    <w:p>
      <w:pPr>
        <w:snapToGrid w:val="0"/>
        <w:spacing w:line="560" w:lineRule="exact"/>
        <w:ind w:firstLine="420" w:firstLineChars="200"/>
        <w:rPr>
          <w:rFonts w:ascii="宋体" w:hAnsi="宋体" w:eastAsia="宋体" w:cs="宋体"/>
          <w:szCs w:val="21"/>
        </w:rPr>
      </w:pPr>
      <w:r>
        <w:rPr>
          <w:rFonts w:hint="eastAsia" w:ascii="宋体" w:hAnsi="宋体" w:eastAsia="宋体" w:cs="宋体"/>
          <w:szCs w:val="21"/>
        </w:rPr>
        <w:t>3.2 联合体：本次采购不接受联合体报价。</w:t>
      </w:r>
    </w:p>
    <w:p>
      <w:pPr>
        <w:snapToGrid w:val="0"/>
        <w:spacing w:line="560" w:lineRule="exact"/>
        <w:ind w:firstLine="420" w:firstLineChars="200"/>
        <w:rPr>
          <w:rFonts w:ascii="宋体" w:hAnsi="宋体" w:eastAsia="宋体" w:cs="宋体"/>
          <w:szCs w:val="21"/>
        </w:rPr>
      </w:pPr>
      <w:r>
        <w:rPr>
          <w:rFonts w:hint="eastAsia" w:ascii="宋体" w:hAnsi="宋体" w:eastAsia="宋体" w:cs="宋体"/>
          <w:szCs w:val="21"/>
        </w:rPr>
        <w:t>3.3 单位负责人为同一人或者存在控股、管理关系的不同单位，不得同时参加同一合同包报价，否则相关响应文件均无效。</w:t>
      </w:r>
    </w:p>
    <w:p>
      <w:pPr>
        <w:pStyle w:val="3"/>
        <w:snapToGrid w:val="0"/>
        <w:spacing w:before="120" w:after="120" w:line="560" w:lineRule="exact"/>
        <w:ind w:firstLine="403"/>
        <w:rPr>
          <w:rFonts w:ascii="宋体" w:hAnsi="宋体" w:eastAsia="宋体" w:cs="宋体"/>
          <w:bCs w:val="0"/>
          <w:sz w:val="21"/>
          <w:szCs w:val="21"/>
        </w:rPr>
      </w:pPr>
      <w:bookmarkStart w:id="26" w:name="_Toc25666_WPSOffice_Level2"/>
      <w:bookmarkStart w:id="27" w:name="_Toc1994"/>
      <w:bookmarkStart w:id="28" w:name="_Toc4751"/>
      <w:bookmarkStart w:id="29" w:name="_Toc2996_WPSOffice_Level2"/>
      <w:bookmarkStart w:id="30" w:name="_Toc4109_WPSOffice_Level2"/>
      <w:bookmarkStart w:id="31" w:name="_Toc29452_WPSOffice_Level2"/>
      <w:bookmarkStart w:id="32" w:name="_Toc525632588"/>
      <w:r>
        <w:rPr>
          <w:rFonts w:hint="eastAsia" w:ascii="宋体" w:hAnsi="宋体" w:eastAsia="宋体" w:cs="宋体"/>
          <w:bCs w:val="0"/>
          <w:sz w:val="21"/>
          <w:szCs w:val="21"/>
        </w:rPr>
        <w:t>询比文件的获取</w:t>
      </w:r>
      <w:bookmarkEnd w:id="26"/>
      <w:bookmarkEnd w:id="27"/>
      <w:bookmarkEnd w:id="28"/>
      <w:bookmarkEnd w:id="29"/>
      <w:bookmarkEnd w:id="30"/>
      <w:bookmarkEnd w:id="31"/>
      <w:bookmarkEnd w:id="32"/>
    </w:p>
    <w:p>
      <w:pPr>
        <w:snapToGrid w:val="0"/>
        <w:spacing w:line="560" w:lineRule="exact"/>
        <w:ind w:firstLine="367" w:firstLineChars="175"/>
        <w:rPr>
          <w:rFonts w:ascii="宋体" w:hAnsi="宋体" w:eastAsia="宋体" w:cs="宋体"/>
          <w:szCs w:val="21"/>
        </w:rPr>
      </w:pPr>
      <w:r>
        <w:rPr>
          <w:rFonts w:hint="eastAsia" w:ascii="宋体" w:hAnsi="宋体" w:eastAsia="宋体" w:cs="宋体"/>
          <w:szCs w:val="21"/>
        </w:rPr>
        <w:t>供应商应在递交响应文件的截止时间前登录安徽交运集团网站（http://www.ahjyjt.com.cn/），选择所参加的合同包，自行下载询比文件及相关资料。</w:t>
      </w:r>
    </w:p>
    <w:p>
      <w:pPr>
        <w:pStyle w:val="3"/>
        <w:snapToGrid w:val="0"/>
        <w:spacing w:before="120" w:after="120" w:line="560" w:lineRule="exact"/>
        <w:ind w:firstLine="403"/>
        <w:rPr>
          <w:rFonts w:ascii="宋体" w:hAnsi="宋体" w:eastAsia="宋体" w:cs="宋体"/>
          <w:bCs w:val="0"/>
          <w:sz w:val="21"/>
          <w:szCs w:val="21"/>
        </w:rPr>
      </w:pPr>
      <w:bookmarkStart w:id="33" w:name="_Toc525632589"/>
      <w:bookmarkStart w:id="34" w:name="_Toc726"/>
      <w:r>
        <w:rPr>
          <w:rFonts w:hint="eastAsia" w:ascii="宋体" w:hAnsi="宋体" w:eastAsia="宋体" w:cs="宋体"/>
          <w:bCs w:val="0"/>
          <w:sz w:val="21"/>
          <w:szCs w:val="21"/>
        </w:rPr>
        <w:t>响应文件的递交</w:t>
      </w:r>
      <w:bookmarkEnd w:id="33"/>
      <w:bookmarkEnd w:id="34"/>
    </w:p>
    <w:p>
      <w:pPr>
        <w:snapToGrid w:val="0"/>
        <w:spacing w:line="560" w:lineRule="exact"/>
        <w:ind w:firstLine="420" w:firstLineChars="200"/>
        <w:rPr>
          <w:rFonts w:ascii="宋体" w:hAnsi="宋体" w:eastAsia="宋体" w:cs="宋体"/>
          <w:szCs w:val="21"/>
        </w:rPr>
      </w:pPr>
      <w:r>
        <w:rPr>
          <w:rFonts w:hint="eastAsia" w:ascii="宋体" w:hAnsi="宋体" w:eastAsia="宋体" w:cs="宋体"/>
          <w:szCs w:val="21"/>
        </w:rPr>
        <w:t>响应文件递交的截止时间为</w:t>
      </w:r>
      <w:r>
        <w:rPr>
          <w:rFonts w:hint="eastAsia" w:ascii="宋体" w:hAnsi="宋体" w:eastAsia="宋体" w:cs="宋体"/>
          <w:szCs w:val="21"/>
          <w:u w:val="single"/>
        </w:rPr>
        <w:t xml:space="preserve"> 2024 </w:t>
      </w:r>
      <w:r>
        <w:rPr>
          <w:rFonts w:hint="eastAsia" w:ascii="宋体" w:hAnsi="宋体" w:eastAsia="宋体" w:cs="宋体"/>
          <w:szCs w:val="21"/>
        </w:rPr>
        <w:t>年</w:t>
      </w:r>
      <w:r>
        <w:rPr>
          <w:rFonts w:hint="eastAsia" w:ascii="宋体" w:hAnsi="宋体" w:eastAsia="宋体" w:cs="宋体"/>
          <w:szCs w:val="21"/>
          <w:u w:val="single"/>
        </w:rPr>
        <w:t xml:space="preserve"> 4 </w:t>
      </w:r>
      <w:r>
        <w:rPr>
          <w:rFonts w:hint="eastAsia" w:ascii="宋体" w:hAnsi="宋体" w:eastAsia="宋体" w:cs="宋体"/>
          <w:szCs w:val="21"/>
        </w:rPr>
        <w:t>月</w:t>
      </w:r>
      <w:r>
        <w:rPr>
          <w:rFonts w:hint="eastAsia" w:ascii="宋体" w:hAnsi="宋体" w:eastAsia="宋体" w:cs="宋体"/>
          <w:szCs w:val="21"/>
          <w:u w:val="single"/>
        </w:rPr>
        <w:t xml:space="preserve"> 24 </w:t>
      </w:r>
      <w:r>
        <w:rPr>
          <w:rFonts w:hint="eastAsia" w:ascii="宋体" w:hAnsi="宋体" w:eastAsia="宋体" w:cs="宋体"/>
          <w:szCs w:val="21"/>
        </w:rPr>
        <w:t>日</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14</w:t>
      </w:r>
      <w:r>
        <w:rPr>
          <w:rFonts w:hint="eastAsia" w:ascii="宋体" w:hAnsi="宋体" w:eastAsia="宋体" w:cs="宋体"/>
          <w:szCs w:val="21"/>
          <w:u w:val="single"/>
        </w:rPr>
        <w:t xml:space="preserve"> </w:t>
      </w:r>
      <w:r>
        <w:rPr>
          <w:rFonts w:hint="eastAsia" w:ascii="宋体" w:hAnsi="宋体" w:eastAsia="宋体" w:cs="宋体"/>
          <w:szCs w:val="21"/>
        </w:rPr>
        <w:t>时</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30</w:t>
      </w:r>
      <w:r>
        <w:rPr>
          <w:rFonts w:hint="eastAsia" w:ascii="宋体" w:hAnsi="宋体" w:eastAsia="宋体" w:cs="宋体"/>
          <w:szCs w:val="21"/>
          <w:u w:val="single"/>
        </w:rPr>
        <w:t xml:space="preserve"> </w:t>
      </w:r>
      <w:r>
        <w:rPr>
          <w:rFonts w:hint="eastAsia" w:ascii="宋体" w:hAnsi="宋体" w:eastAsia="宋体" w:cs="宋体"/>
          <w:szCs w:val="21"/>
        </w:rPr>
        <w:t>分，供应商的法定代表人或其授权代理人应于截止时间前将响应文件递交至</w:t>
      </w:r>
      <w:r>
        <w:rPr>
          <w:rFonts w:hint="eastAsia" w:ascii="宋体" w:hAnsi="宋体" w:eastAsia="宋体" w:cs="宋体"/>
          <w:szCs w:val="21"/>
          <w:u w:val="single"/>
        </w:rPr>
        <w:t xml:space="preserve">  合肥市胜利路35号，交通饭店三楼 汽车销售有限公司 </w:t>
      </w:r>
      <w:r>
        <w:rPr>
          <w:rFonts w:hint="eastAsia" w:ascii="宋体" w:hAnsi="宋体" w:eastAsia="宋体" w:cs="宋体"/>
          <w:szCs w:val="21"/>
        </w:rPr>
        <w:t>（地点）。</w:t>
      </w:r>
    </w:p>
    <w:p>
      <w:pPr>
        <w:pStyle w:val="3"/>
        <w:snapToGrid w:val="0"/>
        <w:spacing w:before="120" w:after="120" w:line="560" w:lineRule="exact"/>
        <w:ind w:firstLine="403"/>
        <w:rPr>
          <w:rFonts w:ascii="宋体" w:hAnsi="宋体" w:eastAsia="宋体" w:cs="宋体"/>
          <w:bCs w:val="0"/>
          <w:sz w:val="21"/>
          <w:szCs w:val="21"/>
        </w:rPr>
      </w:pPr>
      <w:bookmarkStart w:id="35" w:name="_Toc525632591"/>
      <w:bookmarkStart w:id="36" w:name="_Toc22719"/>
      <w:r>
        <w:rPr>
          <w:rFonts w:hint="eastAsia" w:ascii="宋体" w:hAnsi="宋体" w:eastAsia="宋体" w:cs="宋体"/>
          <w:bCs w:val="0"/>
          <w:sz w:val="21"/>
          <w:szCs w:val="21"/>
        </w:rPr>
        <w:t>响应文件启封</w:t>
      </w:r>
    </w:p>
    <w:p>
      <w:pPr>
        <w:snapToGrid w:val="0"/>
        <w:spacing w:line="560" w:lineRule="exact"/>
        <w:ind w:firstLine="420" w:firstLineChars="200"/>
        <w:rPr>
          <w:rFonts w:ascii="宋体" w:hAnsi="宋体" w:eastAsia="宋体" w:cs="宋体"/>
          <w:szCs w:val="21"/>
        </w:rPr>
      </w:pPr>
      <w:r>
        <w:rPr>
          <w:rFonts w:hint="eastAsia" w:ascii="宋体" w:hAnsi="宋体" w:eastAsia="宋体" w:cs="宋体"/>
          <w:szCs w:val="21"/>
        </w:rPr>
        <w:t>响应文件的递交截止时间到后，采购人将于_</w:t>
      </w:r>
      <w:r>
        <w:rPr>
          <w:rFonts w:hint="eastAsia" w:ascii="宋体" w:hAnsi="宋体" w:eastAsia="宋体" w:cs="宋体"/>
          <w:szCs w:val="21"/>
          <w:u w:val="single"/>
        </w:rPr>
        <w:t>交通饭店三楼会议室</w:t>
      </w:r>
      <w:r>
        <w:rPr>
          <w:rFonts w:hint="eastAsia" w:ascii="宋体" w:hAnsi="宋体" w:eastAsia="宋体" w:cs="宋体"/>
          <w:szCs w:val="21"/>
        </w:rPr>
        <w:t>_（地点）组织进行响应文件的启封。供应商的法定代表人或授权代理人应携带本人身份证、授权代理人应携带授权委托书准时参加启封会议。</w:t>
      </w:r>
    </w:p>
    <w:p>
      <w:pPr>
        <w:pStyle w:val="3"/>
        <w:snapToGrid w:val="0"/>
        <w:spacing w:before="120" w:after="120" w:line="560" w:lineRule="exact"/>
        <w:ind w:firstLine="403"/>
        <w:rPr>
          <w:rFonts w:ascii="宋体" w:hAnsi="宋体" w:eastAsia="宋体" w:cs="宋体"/>
          <w:bCs w:val="0"/>
          <w:sz w:val="21"/>
          <w:szCs w:val="21"/>
        </w:rPr>
      </w:pPr>
      <w:r>
        <w:rPr>
          <w:rFonts w:hint="eastAsia" w:ascii="宋体" w:hAnsi="宋体" w:eastAsia="宋体" w:cs="宋体"/>
          <w:bCs w:val="0"/>
          <w:sz w:val="21"/>
          <w:szCs w:val="21"/>
        </w:rPr>
        <w:t>响应保证金</w:t>
      </w:r>
    </w:p>
    <w:p>
      <w:pPr>
        <w:snapToGrid w:val="0"/>
        <w:spacing w:line="560" w:lineRule="exact"/>
        <w:ind w:firstLine="420" w:firstLineChars="200"/>
        <w:rPr>
          <w:rFonts w:ascii="宋体" w:hAnsi="宋体" w:eastAsia="宋体" w:cs="宋体"/>
          <w:szCs w:val="21"/>
        </w:rPr>
      </w:pPr>
      <w:r>
        <w:rPr>
          <w:rFonts w:hint="eastAsia" w:ascii="宋体" w:hAnsi="宋体" w:eastAsia="宋体" w:cs="宋体"/>
          <w:szCs w:val="21"/>
        </w:rPr>
        <w:t>本项目不收取响应保证金。</w:t>
      </w:r>
    </w:p>
    <w:p>
      <w:pPr>
        <w:pStyle w:val="3"/>
        <w:snapToGrid w:val="0"/>
        <w:spacing w:before="120" w:after="120" w:line="560" w:lineRule="exact"/>
        <w:ind w:firstLine="403"/>
        <w:rPr>
          <w:rFonts w:ascii="宋体" w:hAnsi="宋体" w:eastAsia="宋体" w:cs="宋体"/>
          <w:bCs w:val="0"/>
          <w:sz w:val="21"/>
          <w:szCs w:val="21"/>
        </w:rPr>
      </w:pPr>
      <w:r>
        <w:rPr>
          <w:rFonts w:hint="eastAsia" w:ascii="宋体" w:hAnsi="宋体" w:eastAsia="宋体" w:cs="宋体"/>
          <w:bCs w:val="0"/>
          <w:sz w:val="21"/>
          <w:szCs w:val="21"/>
        </w:rPr>
        <w:t>发布公告的媒介</w:t>
      </w:r>
      <w:bookmarkEnd w:id="35"/>
      <w:bookmarkEnd w:id="36"/>
    </w:p>
    <w:p>
      <w:pPr>
        <w:snapToGrid w:val="0"/>
        <w:spacing w:line="560" w:lineRule="exact"/>
        <w:ind w:firstLine="420" w:firstLineChars="200"/>
        <w:rPr>
          <w:rFonts w:ascii="宋体" w:hAnsi="宋体" w:eastAsia="宋体" w:cs="宋体"/>
          <w:szCs w:val="21"/>
        </w:rPr>
      </w:pPr>
      <w:r>
        <w:rPr>
          <w:rFonts w:hint="eastAsia" w:ascii="宋体" w:hAnsi="宋体" w:eastAsia="宋体" w:cs="宋体"/>
          <w:szCs w:val="21"/>
        </w:rPr>
        <w:t>本次采购公告在安徽交运集团网站（http://www.ahjyjt.com.cn/）上发布。</w:t>
      </w:r>
    </w:p>
    <w:p>
      <w:pPr>
        <w:pStyle w:val="3"/>
        <w:snapToGrid w:val="0"/>
        <w:spacing w:before="120" w:after="120" w:line="560" w:lineRule="exact"/>
        <w:ind w:firstLine="403"/>
        <w:rPr>
          <w:rFonts w:ascii="宋体" w:hAnsi="宋体" w:eastAsia="宋体" w:cs="宋体"/>
          <w:bCs w:val="0"/>
          <w:sz w:val="21"/>
          <w:szCs w:val="21"/>
        </w:rPr>
      </w:pPr>
      <w:bookmarkStart w:id="37" w:name="_Toc8501"/>
      <w:bookmarkStart w:id="38" w:name="_Toc20572_WPSOffice_Level2"/>
      <w:bookmarkStart w:id="39" w:name="_Toc14943_WPSOffice_Level2"/>
      <w:bookmarkStart w:id="40" w:name="_Toc28571_WPSOffice_Level2"/>
      <w:bookmarkStart w:id="41" w:name="_Toc525632592"/>
      <w:bookmarkStart w:id="42" w:name="_Toc26829"/>
      <w:bookmarkStart w:id="43" w:name="_Toc321_WPSOffice_Level2"/>
      <w:r>
        <w:rPr>
          <w:rFonts w:hint="eastAsia" w:ascii="宋体" w:hAnsi="宋体" w:eastAsia="宋体" w:cs="宋体"/>
          <w:bCs w:val="0"/>
          <w:sz w:val="21"/>
          <w:szCs w:val="21"/>
        </w:rPr>
        <w:t>采购人联系方式</w:t>
      </w:r>
      <w:bookmarkEnd w:id="37"/>
      <w:bookmarkEnd w:id="38"/>
      <w:bookmarkEnd w:id="39"/>
      <w:bookmarkEnd w:id="40"/>
      <w:bookmarkEnd w:id="41"/>
      <w:bookmarkEnd w:id="42"/>
      <w:bookmarkEnd w:id="43"/>
    </w:p>
    <w:p>
      <w:pPr>
        <w:spacing w:line="560" w:lineRule="exact"/>
        <w:ind w:firstLine="420" w:firstLineChars="200"/>
        <w:rPr>
          <w:rFonts w:ascii="宋体" w:hAnsi="宋体" w:eastAsia="宋体" w:cs="宋体"/>
          <w:szCs w:val="21"/>
        </w:rPr>
      </w:pPr>
      <w:r>
        <w:rPr>
          <w:rFonts w:hint="eastAsia" w:ascii="宋体" w:hAnsi="宋体" w:eastAsia="宋体" w:cs="宋体"/>
          <w:szCs w:val="21"/>
        </w:rPr>
        <w:t>采 购 人：</w:t>
      </w:r>
      <w:r>
        <w:rPr>
          <w:rFonts w:hint="eastAsia" w:ascii="宋体" w:hAnsi="宋体" w:eastAsia="宋体" w:cs="宋体"/>
          <w:szCs w:val="21"/>
          <w:u w:val="single"/>
        </w:rPr>
        <w:t xml:space="preserve"> 安徽交运集团汽车销售有限公司 </w:t>
      </w:r>
    </w:p>
    <w:p>
      <w:pPr>
        <w:spacing w:line="560" w:lineRule="exact"/>
        <w:ind w:firstLine="420" w:firstLineChars="200"/>
        <w:rPr>
          <w:rFonts w:ascii="宋体" w:hAnsi="宋体" w:eastAsia="宋体" w:cs="宋体"/>
          <w:szCs w:val="21"/>
        </w:rPr>
      </w:pPr>
      <w:r>
        <w:rPr>
          <w:rFonts w:hint="eastAsia" w:ascii="宋体" w:hAnsi="宋体" w:eastAsia="宋体" w:cs="宋体"/>
          <w:szCs w:val="21"/>
        </w:rPr>
        <w:t>地    址：</w:t>
      </w:r>
      <w:r>
        <w:rPr>
          <w:rFonts w:hint="eastAsia" w:ascii="宋体" w:hAnsi="宋体" w:eastAsia="宋体" w:cs="宋体"/>
          <w:szCs w:val="21"/>
          <w:u w:val="single"/>
        </w:rPr>
        <w:t xml:space="preserve"> 合肥市胜利路35号 交通饭店 </w:t>
      </w:r>
    </w:p>
    <w:p>
      <w:pPr>
        <w:spacing w:line="560" w:lineRule="exact"/>
        <w:ind w:firstLine="420" w:firstLineChars="200"/>
        <w:rPr>
          <w:rFonts w:ascii="宋体" w:hAnsi="宋体" w:eastAsia="宋体" w:cs="宋体"/>
          <w:szCs w:val="21"/>
        </w:rPr>
      </w:pPr>
      <w:r>
        <w:rPr>
          <w:rFonts w:hint="eastAsia" w:ascii="宋体" w:hAnsi="宋体" w:eastAsia="宋体" w:cs="宋体"/>
          <w:szCs w:val="21"/>
        </w:rPr>
        <w:t>邮政编码：</w:t>
      </w:r>
      <w:r>
        <w:rPr>
          <w:rFonts w:hint="eastAsia" w:ascii="宋体" w:hAnsi="宋体" w:eastAsia="宋体" w:cs="宋体"/>
          <w:szCs w:val="21"/>
          <w:u w:val="single"/>
        </w:rPr>
        <w:t xml:space="preserve"> 230011 </w:t>
      </w:r>
    </w:p>
    <w:p>
      <w:pPr>
        <w:spacing w:line="560" w:lineRule="exact"/>
        <w:ind w:firstLine="420" w:firstLineChars="200"/>
        <w:rPr>
          <w:rFonts w:ascii="宋体" w:hAnsi="宋体" w:eastAsia="宋体" w:cs="宋体"/>
          <w:szCs w:val="21"/>
        </w:rPr>
      </w:pPr>
      <w:r>
        <w:rPr>
          <w:rFonts w:hint="eastAsia" w:ascii="宋体" w:hAnsi="宋体" w:eastAsia="宋体" w:cs="宋体"/>
          <w:szCs w:val="21"/>
        </w:rPr>
        <w:t>联 系 人：</w:t>
      </w:r>
      <w:r>
        <w:rPr>
          <w:rFonts w:hint="eastAsia" w:ascii="宋体" w:hAnsi="宋体" w:eastAsia="宋体" w:cs="宋体"/>
          <w:szCs w:val="21"/>
          <w:u w:val="single"/>
        </w:rPr>
        <w:t xml:space="preserve"> 张倩 </w:t>
      </w:r>
      <w:r>
        <w:rPr>
          <w:rFonts w:hint="eastAsia" w:ascii="宋体" w:hAnsi="宋体" w:eastAsia="宋体" w:cs="宋体"/>
          <w:szCs w:val="21"/>
        </w:rPr>
        <w:t xml:space="preserve">  </w:t>
      </w:r>
    </w:p>
    <w:p>
      <w:pPr>
        <w:spacing w:line="560" w:lineRule="exact"/>
        <w:ind w:firstLine="420" w:firstLineChars="200"/>
        <w:rPr>
          <w:rFonts w:ascii="宋体" w:hAnsi="宋体" w:eastAsia="宋体" w:cs="宋体"/>
          <w:szCs w:val="21"/>
          <w:u w:val="single"/>
        </w:rPr>
      </w:pPr>
      <w:r>
        <w:rPr>
          <w:rFonts w:hint="eastAsia" w:ascii="宋体" w:hAnsi="宋体" w:eastAsia="宋体" w:cs="宋体"/>
          <w:szCs w:val="21"/>
        </w:rPr>
        <w:t>电    话：</w:t>
      </w:r>
      <w:r>
        <w:rPr>
          <w:rFonts w:hint="eastAsia" w:ascii="宋体" w:hAnsi="宋体" w:eastAsia="宋体" w:cs="宋体"/>
          <w:szCs w:val="21"/>
          <w:u w:val="single"/>
        </w:rPr>
        <w:t xml:space="preserve">0551-64299058 </w:t>
      </w:r>
    </w:p>
    <w:p>
      <w:pPr>
        <w:spacing w:line="560" w:lineRule="exact"/>
        <w:ind w:firstLine="420" w:firstLineChars="200"/>
        <w:rPr>
          <w:rFonts w:ascii="宋体" w:hAnsi="宋体" w:eastAsia="宋体" w:cs="宋体"/>
          <w:szCs w:val="21"/>
        </w:rPr>
      </w:pPr>
      <w:r>
        <w:rPr>
          <w:rFonts w:hint="eastAsia" w:ascii="宋体" w:hAnsi="宋体" w:eastAsia="宋体" w:cs="宋体"/>
          <w:szCs w:val="21"/>
        </w:rPr>
        <w:t>电子邮箱：</w:t>
      </w:r>
      <w:r>
        <w:rPr>
          <w:rFonts w:hint="eastAsia" w:ascii="宋体" w:hAnsi="宋体" w:eastAsia="宋体" w:cs="宋体"/>
          <w:szCs w:val="21"/>
          <w:u w:val="single"/>
        </w:rPr>
        <w:t xml:space="preserve"> ahjyxs@163.com </w:t>
      </w:r>
      <w:r>
        <w:rPr>
          <w:rFonts w:hint="eastAsia" w:ascii="宋体" w:hAnsi="宋体" w:eastAsia="宋体" w:cs="宋体"/>
          <w:szCs w:val="21"/>
        </w:rPr>
        <w:t xml:space="preserve"> </w:t>
      </w:r>
    </w:p>
    <w:p>
      <w:pPr>
        <w:pStyle w:val="5"/>
        <w:rPr>
          <w:rFonts w:ascii="宋体" w:hAnsi="宋体" w:eastAsia="宋体" w:cs="宋体"/>
          <w:szCs w:val="21"/>
        </w:rPr>
      </w:pPr>
    </w:p>
    <w:p>
      <w:pPr>
        <w:pStyle w:val="5"/>
        <w:rPr>
          <w:rFonts w:ascii="宋体" w:hAnsi="宋体" w:eastAsia="宋体" w:cs="宋体"/>
          <w:szCs w:val="21"/>
        </w:rPr>
      </w:pPr>
    </w:p>
    <w:p>
      <w:pPr>
        <w:pStyle w:val="21"/>
        <w:jc w:val="center"/>
        <w:rPr>
          <w:rFonts w:hint="default" w:ascii="Times New Roman" w:hAnsi="Times New Roman"/>
          <w:color w:val="auto"/>
          <w:sz w:val="21"/>
          <w:szCs w:val="22"/>
        </w:rPr>
      </w:pPr>
      <w:r>
        <w:rPr>
          <w:rFonts w:hint="default" w:ascii="Times New Roman" w:hAnsi="Times New Roman"/>
          <w:color w:val="auto"/>
          <w:sz w:val="21"/>
          <w:szCs w:val="21"/>
        </w:rPr>
        <w:t xml:space="preserve">              </w:t>
      </w:r>
      <w:r>
        <w:rPr>
          <w:rFonts w:hint="default" w:ascii="Times New Roman" w:hAnsi="Times New Roman"/>
          <w:color w:val="auto"/>
          <w:sz w:val="21"/>
          <w:szCs w:val="22"/>
        </w:rPr>
        <w:t xml:space="preserve">                            </w:t>
      </w:r>
    </w:p>
    <w:p>
      <w:pPr>
        <w:pStyle w:val="21"/>
        <w:jc w:val="right"/>
        <w:rPr>
          <w:rFonts w:hint="default" w:ascii="Times New Roman" w:hAnsi="Times New Roman"/>
          <w:color w:val="auto"/>
          <w:szCs w:val="28"/>
        </w:rPr>
      </w:pPr>
      <w:r>
        <w:rPr>
          <w:rFonts w:ascii="Times New Roman" w:hAnsi="Times New Roman"/>
          <w:color w:val="auto"/>
          <w:sz w:val="21"/>
          <w:szCs w:val="22"/>
        </w:rPr>
        <w:t xml:space="preserve">2024 </w:t>
      </w:r>
      <w:r>
        <w:rPr>
          <w:rFonts w:hint="default" w:ascii="Times New Roman" w:hAnsi="Times New Roman"/>
          <w:color w:val="auto"/>
          <w:sz w:val="21"/>
          <w:szCs w:val="22"/>
        </w:rPr>
        <w:t>年</w:t>
      </w:r>
      <w:r>
        <w:rPr>
          <w:rFonts w:ascii="Times New Roman" w:hAnsi="Times New Roman"/>
          <w:color w:val="auto"/>
          <w:sz w:val="21"/>
          <w:szCs w:val="22"/>
        </w:rPr>
        <w:t xml:space="preserve"> 4 </w:t>
      </w:r>
      <w:r>
        <w:rPr>
          <w:rFonts w:hint="default" w:ascii="Times New Roman" w:hAnsi="Times New Roman"/>
          <w:color w:val="auto"/>
          <w:sz w:val="21"/>
          <w:szCs w:val="22"/>
        </w:rPr>
        <w:t>月</w:t>
      </w:r>
      <w:r>
        <w:rPr>
          <w:rFonts w:ascii="Times New Roman" w:hAnsi="Times New Roman"/>
          <w:color w:val="auto"/>
          <w:sz w:val="21"/>
          <w:szCs w:val="22"/>
        </w:rPr>
        <w:t xml:space="preserve"> 1</w:t>
      </w:r>
      <w:r>
        <w:rPr>
          <w:rFonts w:hint="eastAsia" w:ascii="Times New Roman" w:hAnsi="Times New Roman"/>
          <w:color w:val="auto"/>
          <w:sz w:val="21"/>
          <w:szCs w:val="22"/>
          <w:lang w:val="en-US" w:eastAsia="zh-CN"/>
        </w:rPr>
        <w:t>7</w:t>
      </w:r>
      <w:r>
        <w:rPr>
          <w:rFonts w:ascii="Times New Roman" w:hAnsi="Times New Roman"/>
          <w:color w:val="auto"/>
          <w:sz w:val="21"/>
          <w:szCs w:val="22"/>
        </w:rPr>
        <w:t xml:space="preserve"> </w:t>
      </w:r>
      <w:r>
        <w:rPr>
          <w:rFonts w:hint="default" w:ascii="Times New Roman" w:hAnsi="Times New Roman"/>
          <w:color w:val="auto"/>
          <w:sz w:val="21"/>
          <w:szCs w:val="22"/>
        </w:rPr>
        <w:t>日</w:t>
      </w:r>
    </w:p>
    <w:p>
      <w:pPr>
        <w:rPr>
          <w:rFonts w:ascii="Times New Roman" w:hAnsi="Times New Roman" w:cs="Times New Roman"/>
          <w:sz w:val="24"/>
          <w:szCs w:val="28"/>
        </w:rPr>
      </w:pPr>
      <w:r>
        <w:rPr>
          <w:rFonts w:ascii="Times New Roman" w:hAnsi="Times New Roman" w:cs="Times New Roman"/>
          <w:sz w:val="24"/>
          <w:szCs w:val="28"/>
        </w:rPr>
        <w:br w:type="page"/>
      </w:r>
    </w:p>
    <w:p>
      <w:pPr>
        <w:pStyle w:val="2"/>
        <w:numPr>
          <w:ilvl w:val="0"/>
          <w:numId w:val="0"/>
        </w:numPr>
        <w:spacing w:before="312" w:after="312"/>
        <w:rPr>
          <w:rFonts w:ascii="Times New Roman" w:hAnsi="Times New Roman" w:eastAsia="宋体" w:cs="Times New Roman"/>
        </w:rPr>
      </w:pPr>
      <w:r>
        <w:rPr>
          <w:rFonts w:hint="eastAsia" w:ascii="Times New Roman" w:hAnsi="Times New Roman" w:eastAsia="宋体" w:cs="Times New Roman"/>
        </w:rPr>
        <w:t xml:space="preserve">第二章 </w:t>
      </w:r>
      <w:r>
        <w:rPr>
          <w:rFonts w:ascii="Times New Roman" w:hAnsi="Times New Roman" w:eastAsia="宋体" w:cs="Times New Roman"/>
        </w:rPr>
        <w:t>供应商须知</w:t>
      </w:r>
    </w:p>
    <w:p>
      <w:pPr>
        <w:keepNext/>
        <w:keepLines/>
        <w:spacing w:beforeLines="50"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440" w:lineRule="exact"/>
        <w:ind w:firstLine="420"/>
        <w:rPr>
          <w:rFonts w:ascii="Times New Roman" w:hAnsi="Times New Roman" w:cs="Times New Roman"/>
          <w:szCs w:val="21"/>
        </w:rPr>
      </w:pPr>
      <w:r>
        <w:rPr>
          <w:rFonts w:ascii="Times New Roman" w:hAnsi="Times New Roman" w:cs="Times New Roman"/>
          <w:szCs w:val="21"/>
        </w:rPr>
        <w:t>本合同包的质量要求：</w:t>
      </w:r>
      <w:r>
        <w:rPr>
          <w:rFonts w:hint="eastAsia" w:ascii="Times New Roman" w:hAnsi="Times New Roman" w:cs="Times New Roman"/>
          <w:szCs w:val="21"/>
        </w:rPr>
        <w:t>__</w:t>
      </w:r>
      <w:r>
        <w:rPr>
          <w:rFonts w:hint="eastAsia" w:ascii="Times New Roman" w:hAnsi="Times New Roman" w:cs="Times New Roman"/>
          <w:szCs w:val="21"/>
          <w:u w:val="single"/>
        </w:rPr>
        <w:t>符合国家标准</w:t>
      </w:r>
      <w:r>
        <w:rPr>
          <w:rFonts w:hint="eastAsia" w:ascii="Times New Roman" w:hAnsi="Times New Roman" w:cs="Times New Roman"/>
          <w:szCs w:val="21"/>
        </w:rPr>
        <w:t>__。</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 xml:space="preserve"> 供应商资格要求</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供货</w:t>
      </w:r>
      <w:r>
        <w:rPr>
          <w:rFonts w:ascii="Times New Roman" w:hAnsi="Times New Roman" w:cs="Times New Roman"/>
          <w:szCs w:val="21"/>
        </w:rPr>
        <w:t xml:space="preserve">的资质条件、能力和信誉：见第一章 </w:t>
      </w:r>
      <w:r>
        <w:rPr>
          <w:rFonts w:hint="eastAsia" w:ascii="Times New Roman" w:hAnsi="Times New Roman" w:cs="Times New Roman"/>
          <w:szCs w:val="21"/>
        </w:rPr>
        <w:t>采购公告</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 xml:space="preserve"> 其他</w:t>
      </w:r>
      <w:r>
        <w:rPr>
          <w:rFonts w:hint="eastAsia" w:ascii="Times New Roman" w:hAnsi="Times New Roman" w:cs="Times New Roman"/>
          <w:szCs w:val="21"/>
        </w:rPr>
        <w:t>要求：</w:t>
      </w:r>
      <w:r>
        <w:rPr>
          <w:rFonts w:hint="eastAsia" w:ascii="Times New Roman" w:hAnsi="Times New Roman" w:cs="Times New Roman"/>
          <w:szCs w:val="21"/>
          <w:u w:val="single"/>
        </w:rPr>
        <w:t xml:space="preserve">无 </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 xml:space="preserve"> 费用承担</w:t>
      </w:r>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 xml:space="preserve"> 保密</w:t>
      </w:r>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 xml:space="preserve"> 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 xml:space="preserve"> 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 xml:space="preserve"> 分包</w:t>
      </w:r>
    </w:p>
    <w:p>
      <w:pPr>
        <w:spacing w:line="440" w:lineRule="exact"/>
        <w:ind w:firstLine="420"/>
        <w:rPr>
          <w:rFonts w:ascii="Times New Roman" w:hAnsi="Times New Roman" w:cs="Times New Roman"/>
        </w:rPr>
      </w:pPr>
      <w:r>
        <w:rPr>
          <w:rFonts w:hint="eastAsia" w:ascii="Times New Roman" w:hAnsi="Times New Roman" w:cs="Times New Roman"/>
        </w:rPr>
        <w:t xml:space="preserve">不分包。        </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 xml:space="preserve"> 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Lines="50"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通过递交书面质疑函</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 xml:space="preserve"> 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Lines="50"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40" w:lineRule="exact"/>
        <w:ind w:firstLine="420"/>
        <w:rPr>
          <w:rFonts w:ascii="Times New Roman" w:hAnsi="Times New Roman" w:cs="Times New Roman"/>
        </w:rPr>
      </w:pPr>
      <w:r>
        <w:rPr>
          <w:rFonts w:ascii="Times New Roman" w:hAnsi="Times New Roman" w:cs="Times New Roman"/>
        </w:rPr>
        <w:t>响应文件应包括下列内容：</w:t>
      </w:r>
    </w:p>
    <w:p>
      <w:pPr>
        <w:spacing w:line="440" w:lineRule="exac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pPr>
        <w:spacing w:line="440" w:lineRule="exac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近年类似业绩情况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信誉情况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（7）技术性能（质量）指标描述；</w:t>
      </w:r>
    </w:p>
    <w:p>
      <w:pPr>
        <w:spacing w:line="440" w:lineRule="exact"/>
        <w:ind w:firstLine="420"/>
        <w:rPr>
          <w:rFonts w:ascii="Times New Roman" w:hAnsi="Times New Roman" w:cs="Times New Roman"/>
        </w:rPr>
      </w:pPr>
      <w:r>
        <w:rPr>
          <w:rFonts w:hint="eastAsia" w:ascii="Times New Roman" w:hAnsi="Times New Roman" w:cs="Times New Roman"/>
        </w:rPr>
        <w:t>（8）供货方案；</w:t>
      </w:r>
    </w:p>
    <w:p>
      <w:pPr>
        <w:spacing w:line="440" w:lineRule="exact"/>
        <w:ind w:firstLine="42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其他材料</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3.2 报价要求 </w:t>
      </w:r>
    </w:p>
    <w:p>
      <w:pPr>
        <w:spacing w:line="440" w:lineRule="exact"/>
        <w:ind w:firstLine="420"/>
        <w:rPr>
          <w:rFonts w:ascii="Times New Roman" w:hAnsi="Times New Roman" w:cs="Times New Roman"/>
          <w:color w:val="0000FF"/>
          <w:highlight w:val="green"/>
        </w:rPr>
      </w:pPr>
      <w:r>
        <w:rPr>
          <w:rFonts w:ascii="Times New Roman" w:hAnsi="Times New Roman" w:cs="Times New Roman"/>
          <w:color w:val="0000FF"/>
          <w:highlight w:val="green"/>
        </w:rPr>
        <w:t>3.2.1 报价应包括国家规定的增值税税金</w:t>
      </w:r>
      <w:r>
        <w:rPr>
          <w:rFonts w:hint="eastAsia" w:ascii="Times New Roman" w:hAnsi="Times New Roman" w:cs="Times New Roman"/>
          <w:color w:val="0000FF"/>
          <w:highlight w:val="green"/>
        </w:rPr>
        <w:t>，供应商应提供增值税发票13%</w:t>
      </w:r>
      <w:r>
        <w:rPr>
          <w:rFonts w:ascii="Times New Roman" w:hAnsi="Times New Roman" w:cs="Times New Roman"/>
          <w:color w:val="0000FF"/>
          <w:highlight w:val="gree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 xml:space="preserve"> 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（单价/总价）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 xml:space="preserve"> 报价的其他要求</w:t>
      </w:r>
      <w:r>
        <w:rPr>
          <w:rFonts w:hint="eastAsia" w:ascii="Times New Roman" w:hAnsi="Times New Roman" w:cs="Times New Roman"/>
        </w:rPr>
        <w:t>：</w:t>
      </w:r>
      <w:r>
        <w:rPr>
          <w:rFonts w:hint="eastAsia" w:ascii="Times New Roman" w:hAnsi="Times New Roman" w:cs="Times New Roman"/>
          <w:u w:val="single"/>
        </w:rPr>
        <w:t>无</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spacing w:line="440" w:lineRule="exact"/>
        <w:rPr>
          <w:rFonts w:ascii="Times New Roman" w:hAnsi="Times New Roman" w:eastAsia="黑体" w:cs="Times New Roman"/>
          <w:bCs/>
          <w:sz w:val="24"/>
          <w:szCs w:val="32"/>
        </w:rPr>
      </w:pPr>
      <w:r>
        <w:rPr>
          <w:rFonts w:ascii="Times New Roman" w:hAnsi="Times New Roman" w:eastAsia="黑体" w:cs="Times New Roman"/>
          <w:bCs/>
          <w:sz w:val="24"/>
          <w:szCs w:val="32"/>
        </w:rPr>
        <w:t>3.4资格审查资料</w:t>
      </w:r>
    </w:p>
    <w:p>
      <w:pPr>
        <w:spacing w:line="440" w:lineRule="exact"/>
        <w:ind w:firstLine="420"/>
        <w:rPr>
          <w:rFonts w:ascii="Times New Roman" w:hAnsi="Times New Roman" w:cs="Times New Roman"/>
        </w:rPr>
      </w:pPr>
      <w:r>
        <w:rPr>
          <w:rFonts w:ascii="Times New Roman" w:hAnsi="Times New Roman" w:cs="Times New Roman"/>
        </w:rPr>
        <w:t>供应商应按第六章“响应文件格式”</w:t>
      </w:r>
      <w:r>
        <w:rPr>
          <w:rFonts w:hint="eastAsia" w:ascii="Times New Roman" w:hAnsi="Times New Roman" w:cs="Times New Roman"/>
        </w:rPr>
        <w:t>的</w:t>
      </w:r>
      <w:r>
        <w:rPr>
          <w:rFonts w:ascii="Times New Roman" w:hAnsi="Times New Roman" w:cs="Times New Roman"/>
        </w:rPr>
        <w:t>规定提供资格审查资料，以证明其满足本章第1.</w:t>
      </w:r>
      <w:r>
        <w:rPr>
          <w:rFonts w:hint="eastAsia" w:ascii="Times New Roman" w:hAnsi="Times New Roman" w:cs="Times New Roman"/>
        </w:rPr>
        <w:t>2</w:t>
      </w:r>
      <w:r>
        <w:rPr>
          <w:rFonts w:ascii="Times New Roman" w:hAnsi="Times New Roman"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响应文件的编制</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5</w:t>
      </w: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响应文件应按第六章“响应文件格式”进行编写，如有必要，可以增加附页，作为响应文件的组成部分。</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5</w:t>
      </w:r>
      <w:r>
        <w:rPr>
          <w:rFonts w:ascii="Times New Roman" w:hAnsi="Times New Roman" w:cs="Times New Roman"/>
        </w:rPr>
        <w:t>.2 响应文件应当对询比文件有关</w:t>
      </w:r>
      <w:r>
        <w:rPr>
          <w:rFonts w:hint="eastAsia" w:ascii="Times New Roman" w:hAnsi="Times New Roman" w:cs="Times New Roman"/>
        </w:rPr>
        <w:t>交货</w:t>
      </w:r>
      <w:r>
        <w:rPr>
          <w:rFonts w:ascii="Times New Roman" w:hAnsi="Times New Roman" w:cs="Times New Roman"/>
        </w:rPr>
        <w:t>期、响应有效期、质量要求、技术标准和要求、</w:t>
      </w:r>
      <w:r>
        <w:rPr>
          <w:rFonts w:hint="eastAsia" w:ascii="Times New Roman" w:hAnsi="Times New Roman" w:cs="Times New Roman"/>
        </w:rPr>
        <w:t>采购范围</w:t>
      </w:r>
      <w:r>
        <w:rPr>
          <w:rFonts w:ascii="Times New Roman" w:hAnsi="Times New Roman" w:cs="Times New Roman"/>
        </w:rPr>
        <w:t>等实质性内容作出响应。</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5</w:t>
      </w:r>
      <w:r>
        <w:rPr>
          <w:rFonts w:ascii="Times New Roman" w:hAnsi="Times New Roman" w:cs="Times New Roman"/>
        </w:rPr>
        <w:t>.3响应文件的制作应满足以下规定：</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响应</w:t>
      </w:r>
      <w:r>
        <w:rPr>
          <w:rFonts w:ascii="Times New Roman" w:hAnsi="Times New Roman" w:cs="Times New Roman"/>
        </w:rPr>
        <w:t>文件应用不褪色的材料书写或打印，并按第六章“</w:t>
      </w:r>
      <w:r>
        <w:rPr>
          <w:rFonts w:hint="eastAsia" w:ascii="Times New Roman" w:hAnsi="Times New Roman" w:cs="Times New Roman"/>
        </w:rPr>
        <w:t>响应文件</w:t>
      </w:r>
      <w:r>
        <w:rPr>
          <w:rFonts w:ascii="Times New Roman" w:hAnsi="Times New Roman" w:cs="Times New Roman"/>
        </w:rPr>
        <w:t>格式”的要求进行</w:t>
      </w:r>
      <w:r>
        <w:rPr>
          <w:rFonts w:hint="eastAsia" w:ascii="Times New Roman" w:hAnsi="Times New Roman" w:cs="Times New Roman"/>
        </w:rPr>
        <w:t>签名</w:t>
      </w:r>
      <w:r>
        <w:rPr>
          <w:rFonts w:ascii="Times New Roman" w:hAnsi="Times New Roman" w:cs="Times New Roman"/>
        </w:rPr>
        <w:t>和（或）盖章。</w:t>
      </w:r>
      <w:r>
        <w:rPr>
          <w:rFonts w:hint="eastAsia" w:ascii="Times New Roman" w:hAnsi="Times New Roman" w:cs="Times New Roman"/>
        </w:rPr>
        <w:t>响应</w:t>
      </w:r>
      <w:r>
        <w:rPr>
          <w:rFonts w:ascii="Times New Roman" w:hAnsi="Times New Roman" w:cs="Times New Roman"/>
        </w:rPr>
        <w:t>文件应尽量避免涂改、行间插字或删除。如果出现上述情况，改动之处应由</w:t>
      </w:r>
      <w:r>
        <w:rPr>
          <w:rFonts w:hint="eastAsia" w:ascii="Times New Roman" w:hAnsi="Times New Roman" w:cs="Times New Roman"/>
        </w:rPr>
        <w:t>供应商</w:t>
      </w:r>
      <w:r>
        <w:rPr>
          <w:rFonts w:ascii="Times New Roman" w:hAnsi="Times New Roman" w:cs="Times New Roman"/>
        </w:rPr>
        <w:t>的法定代表人或其授权的代理人</w:t>
      </w:r>
      <w:r>
        <w:rPr>
          <w:rFonts w:hint="eastAsia" w:ascii="Times New Roman" w:hAnsi="Times New Roman" w:cs="Times New Roman"/>
        </w:rPr>
        <w:t>签名</w:t>
      </w:r>
      <w:r>
        <w:rPr>
          <w:rFonts w:ascii="Times New Roman" w:hAnsi="Times New Roman" w:cs="Times New Roman"/>
        </w:rPr>
        <w:t>或盖单位章。</w:t>
      </w:r>
    </w:p>
    <w:p>
      <w:pPr>
        <w:spacing w:line="440" w:lineRule="exact"/>
        <w:ind w:firstLine="42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响应文件</w:t>
      </w:r>
      <w:r>
        <w:rPr>
          <w:rFonts w:ascii="Times New Roman" w:hAnsi="Times New Roman" w:cs="Times New Roman"/>
        </w:rPr>
        <w:t>正本一份，副本</w:t>
      </w:r>
      <w:r>
        <w:rPr>
          <w:rFonts w:hint="eastAsia" w:ascii="Times New Roman" w:hAnsi="Times New Roman" w:cs="Times New Roman"/>
        </w:rPr>
        <w:t>一</w:t>
      </w:r>
      <w:r>
        <w:rPr>
          <w:rFonts w:ascii="Times New Roman" w:hAnsi="Times New Roman" w:cs="Times New Roman"/>
        </w:rPr>
        <w:t>份。正本和副本的封面右上角上应清楚地标记“正本”或“副本”的字样。当副本和正本不一致时，以正本文件为准。</w:t>
      </w:r>
    </w:p>
    <w:p>
      <w:pPr>
        <w:spacing w:line="440" w:lineRule="exact"/>
        <w:ind w:firstLine="420"/>
        <w:rPr>
          <w:rFonts w:ascii="Times New Roman" w:hAnsi="Times New Roman" w:eastAsia="宋体" w:cs="Times New Roman"/>
          <w:highlight w:val="green"/>
        </w:rPr>
      </w:pPr>
      <w:r>
        <w:rPr>
          <w:rFonts w:ascii="Times New Roman" w:hAnsi="Times New Roman" w:eastAsia="宋体" w:cs="Times New Roman"/>
          <w:highlight w:val="green"/>
        </w:rPr>
        <w:t>（3）</w:t>
      </w:r>
      <w:r>
        <w:rPr>
          <w:rFonts w:hint="eastAsia" w:ascii="Times New Roman" w:hAnsi="Times New Roman" w:eastAsia="宋体" w:cs="Times New Roman"/>
          <w:highlight w:val="green"/>
        </w:rPr>
        <w:t>响应文件</w:t>
      </w:r>
      <w:r>
        <w:rPr>
          <w:rFonts w:ascii="Times New Roman" w:hAnsi="Times New Roman" w:eastAsia="宋体" w:cs="Times New Roman"/>
          <w:highlight w:val="green"/>
        </w:rPr>
        <w:t>的正本与副本</w:t>
      </w:r>
      <w:r>
        <w:rPr>
          <w:rFonts w:hint="eastAsia" w:ascii="Times New Roman" w:hAnsi="Times New Roman" w:eastAsia="宋体" w:cs="Times New Roman"/>
          <w:highlight w:val="green"/>
        </w:rPr>
        <w:t>胶装密封</w:t>
      </w:r>
      <w:r>
        <w:rPr>
          <w:rFonts w:ascii="Times New Roman" w:hAnsi="Times New Roman" w:eastAsia="宋体" w:cs="Times New Roman"/>
          <w:highlight w:val="green"/>
        </w:rPr>
        <w:t>装订。</w:t>
      </w:r>
    </w:p>
    <w:p>
      <w:pPr>
        <w:spacing w:line="440" w:lineRule="exact"/>
        <w:ind w:firstLine="420"/>
        <w:rPr>
          <w:rFonts w:ascii="Times New Roman" w:hAnsi="Times New Roman" w:eastAsia="宋体" w:cs="Times New Roman"/>
          <w:highlight w:val="green"/>
        </w:rPr>
      </w:pPr>
      <w:r>
        <w:rPr>
          <w:rFonts w:hint="eastAsia" w:ascii="Times New Roman" w:hAnsi="Times New Roman" w:eastAsia="宋体" w:cs="Times New Roman"/>
          <w:highlight w:val="green"/>
        </w:rPr>
        <w:t>（4）响应文件需供应商</w:t>
      </w:r>
      <w:r>
        <w:rPr>
          <w:rFonts w:ascii="Times New Roman" w:hAnsi="Times New Roman" w:eastAsia="宋体" w:cs="Times New Roman"/>
          <w:highlight w:val="green"/>
        </w:rPr>
        <w:t>的法定代表人或其授权的代理人</w:t>
      </w:r>
      <w:r>
        <w:rPr>
          <w:rFonts w:hint="eastAsia" w:ascii="Times New Roman" w:hAnsi="Times New Roman" w:eastAsia="宋体" w:cs="Times New Roman"/>
          <w:highlight w:val="green"/>
        </w:rPr>
        <w:t>签名和</w:t>
      </w:r>
      <w:r>
        <w:rPr>
          <w:rFonts w:ascii="Times New Roman" w:hAnsi="Times New Roman" w:eastAsia="宋体" w:cs="Times New Roman"/>
          <w:highlight w:val="green"/>
        </w:rPr>
        <w:t>盖单位章</w:t>
      </w:r>
      <w:r>
        <w:rPr>
          <w:rFonts w:hint="eastAsia" w:ascii="Times New Roman" w:hAnsi="Times New Roman" w:eastAsia="宋体" w:cs="Times New Roman"/>
          <w:highlight w:val="green"/>
        </w:rPr>
        <w:t>。</w:t>
      </w:r>
    </w:p>
    <w:p>
      <w:pPr>
        <w:keepNext/>
        <w:keepLines/>
        <w:spacing w:beforeLines="50"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ascii="Times New Roman" w:hAnsi="Times New Roman" w:cs="Times New Roman"/>
          <w:highlight w:val="green"/>
        </w:rPr>
      </w:pPr>
      <w:r>
        <w:rPr>
          <w:rFonts w:ascii="Times New Roman" w:hAnsi="Times New Roman" w:cs="Times New Roman"/>
          <w:highlight w:val="green"/>
        </w:rPr>
        <w:t>4.1.1响应文件</w:t>
      </w:r>
      <w:r>
        <w:rPr>
          <w:rFonts w:hint="eastAsia" w:ascii="Times New Roman" w:hAnsi="Times New Roman" w:cs="Times New Roman"/>
          <w:highlight w:val="green"/>
        </w:rPr>
        <w:t>正、副本</w:t>
      </w:r>
      <w:r>
        <w:rPr>
          <w:rFonts w:ascii="Times New Roman" w:hAnsi="Times New Roman" w:cs="Times New Roman"/>
          <w:highlight w:val="green"/>
        </w:rPr>
        <w:t>应</w:t>
      </w:r>
      <w:r>
        <w:rPr>
          <w:rFonts w:hint="eastAsia" w:ascii="Times New Roman" w:hAnsi="Times New Roman" w:cs="Times New Roman"/>
          <w:highlight w:val="green"/>
        </w:rPr>
        <w:t>胶装</w:t>
      </w:r>
      <w:r>
        <w:rPr>
          <w:rFonts w:ascii="Times New Roman" w:hAnsi="Times New Roman" w:cs="Times New Roman"/>
          <w:highlight w:val="green"/>
        </w:rPr>
        <w:t>密封包装</w:t>
      </w:r>
      <w:r>
        <w:rPr>
          <w:rFonts w:hint="eastAsia" w:ascii="Times New Roman" w:hAnsi="Times New Roman" w:cs="Times New Roman"/>
          <w:highlight w:val="green"/>
        </w:rPr>
        <w:t>在封套内，封套上注明：</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供应商名称：</w:t>
      </w:r>
      <w:r>
        <w:rPr>
          <w:rFonts w:hint="eastAsia" w:ascii="Times New Roman" w:hAnsi="Times New Roman" w:eastAsia="黑体" w:cs="黑体"/>
          <w:bCs/>
          <w:snapToGrid w:val="0"/>
          <w:kern w:val="0"/>
          <w:szCs w:val="21"/>
          <w:u w:val="single"/>
        </w:rPr>
        <w:t xml:space="preserve">            </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u w:val="single"/>
        </w:rPr>
        <w:t xml:space="preserve">            (项目</w:t>
      </w:r>
      <w:r>
        <w:rPr>
          <w:rFonts w:hint="eastAsia" w:ascii="Times New Roman" w:hAnsi="Times New Roman" w:eastAsia="黑体" w:cs="黑体"/>
          <w:u w:val="single"/>
        </w:rPr>
        <w:t>名称</w:t>
      </w:r>
      <w:r>
        <w:rPr>
          <w:rFonts w:hint="eastAsia" w:ascii="Times New Roman" w:hAnsi="Times New Roman" w:eastAsia="黑体" w:cs="黑体"/>
          <w:bCs/>
          <w:snapToGrid w:val="0"/>
          <w:kern w:val="0"/>
          <w:szCs w:val="21"/>
          <w:u w:val="single"/>
        </w:rPr>
        <w:t xml:space="preserve">)   第   </w:t>
      </w:r>
      <w:r>
        <w:rPr>
          <w:rFonts w:hint="eastAsia" w:ascii="Times New Roman" w:hAnsi="Times New Roman" w:eastAsia="黑体" w:cs="黑体"/>
          <w:bCs/>
          <w:snapToGrid w:val="0"/>
          <w:kern w:val="0"/>
          <w:szCs w:val="21"/>
        </w:rPr>
        <w:t>合同包响应文件</w:t>
      </w:r>
    </w:p>
    <w:p>
      <w:pPr>
        <w:spacing w:line="440" w:lineRule="exact"/>
        <w:ind w:firstLine="420"/>
        <w:rPr>
          <w:rFonts w:ascii="Times New Roman" w:hAnsi="Times New Roman" w:eastAsia="黑体" w:cs="黑体"/>
        </w:rPr>
      </w:pPr>
      <w:r>
        <w:rPr>
          <w:rFonts w:hint="eastAsia" w:ascii="Times New Roman" w:hAnsi="Times New Roman" w:eastAsia="黑体" w:cs="黑体"/>
          <w:bCs/>
          <w:snapToGrid w:val="0"/>
          <w:kern w:val="0"/>
          <w:szCs w:val="21"/>
        </w:rPr>
        <w:t>在</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年</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月</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日</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时</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分（递交响应文件的截止时间）前不得开启</w:t>
      </w:r>
    </w:p>
    <w:p>
      <w:pPr>
        <w:spacing w:line="440" w:lineRule="exact"/>
        <w:ind w:firstLine="420"/>
        <w:rPr>
          <w:rFonts w:ascii="Times New Roman" w:hAnsi="Times New Roman" w:cs="Times New Roman"/>
        </w:rPr>
      </w:pPr>
      <w:r>
        <w:rPr>
          <w:rFonts w:ascii="Times New Roman" w:hAnsi="Times New Roman" w:cs="Times New Roman"/>
        </w:rPr>
        <w:t>4.1.2</w:t>
      </w:r>
      <w:r>
        <w:rPr>
          <w:rFonts w:ascii="Times New Roman" w:hAnsi="Times New Roman"/>
        </w:rPr>
        <w:t>未按本章第4.1.1项</w:t>
      </w:r>
      <w:r>
        <w:rPr>
          <w:rFonts w:ascii="Times New Roman" w:hAnsi="Times New Roman" w:cs="Times New Roman"/>
        </w:rPr>
        <w:t>要求</w:t>
      </w:r>
      <w:r>
        <w:rPr>
          <w:rFonts w:ascii="Times New Roman" w:hAnsi="Times New Roman"/>
        </w:rPr>
        <w:t>密封的</w:t>
      </w:r>
      <w:r>
        <w:rPr>
          <w:rFonts w:hint="eastAsia" w:ascii="Times New Roman" w:hAnsi="Times New Roman"/>
        </w:rPr>
        <w:t>响应文件</w:t>
      </w:r>
      <w:r>
        <w:rPr>
          <w:rFonts w:ascii="Times New Roman" w:hAnsi="Times New Roman"/>
        </w:rPr>
        <w:t>，</w:t>
      </w:r>
      <w:r>
        <w:rPr>
          <w:rFonts w:hint="eastAsia" w:ascii="Times New Roman" w:hAnsi="Times New Roman"/>
        </w:rPr>
        <w:t>采购人有权</w:t>
      </w:r>
      <w:r>
        <w:rPr>
          <w:rFonts w:ascii="Times New Roman" w:hAnsi="Times New Roman"/>
        </w:rPr>
        <w:t>予以拒收。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w:t>
      </w:r>
      <w:r>
        <w:rPr>
          <w:rFonts w:ascii="Times New Roman" w:hAnsi="Times New Roman" w:cs="Times New Roman"/>
        </w:rPr>
        <w:t xml:space="preserve"> </w:t>
      </w:r>
      <w:r>
        <w:rPr>
          <w:rFonts w:hint="eastAsia" w:ascii="Times New Roman" w:hAnsi="Times New Roman" w:cs="Times New Roman"/>
        </w:rPr>
        <w:t>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Lines="50"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spacing w:line="440" w:lineRule="exact"/>
        <w:ind w:firstLine="420"/>
        <w:rPr>
          <w:rFonts w:ascii="Times New Roman" w:hAnsi="Times New Roman" w:cs="Times New Roman"/>
        </w:rPr>
      </w:pPr>
      <w:r>
        <w:rPr>
          <w:rFonts w:ascii="Times New Roman" w:hAnsi="Times New Roman" w:cs="Times New Roman"/>
        </w:rPr>
        <w:t xml:space="preserve">5.2.1主持人按下列程序进行启封： </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 xml:space="preserve">（2）由供应商推选的代表检查响应文件的密封情况； </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w:t>
      </w:r>
      <w:r>
        <w:rPr>
          <w:rFonts w:hint="eastAsia" w:ascii="Times New Roman" w:hAnsi="Times New Roman" w:cs="Times New Roman"/>
          <w:bCs/>
        </w:rPr>
        <w:t>交货</w:t>
      </w:r>
      <w:r>
        <w:rPr>
          <w:rFonts w:ascii="Times New Roman" w:hAnsi="Times New Roman" w:cs="Times New Roman"/>
          <w:bCs/>
        </w:rPr>
        <w:t>期情况及其他内容；</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rPr>
        <w:t>供应商</w:t>
      </w:r>
      <w:r>
        <w:rPr>
          <w:rFonts w:ascii="Times New Roman" w:hAnsi="Times New Roman"/>
        </w:rPr>
        <w:t>代表、</w:t>
      </w:r>
      <w:r>
        <w:rPr>
          <w:rFonts w:hint="eastAsia" w:ascii="Times New Roman" w:hAnsi="Times New Roman"/>
        </w:rPr>
        <w:t>采购</w:t>
      </w:r>
      <w:r>
        <w:rPr>
          <w:rFonts w:ascii="Times New Roman" w:hAnsi="Times New Roman"/>
        </w:rPr>
        <w:t>人代表、记录人等有关人员在</w:t>
      </w:r>
      <w:r>
        <w:rPr>
          <w:rFonts w:hint="eastAsia" w:ascii="Times New Roman" w:hAnsi="Times New Roman"/>
        </w:rPr>
        <w:t>递交响应文件表</w:t>
      </w:r>
      <w:r>
        <w:rPr>
          <w:rFonts w:ascii="Times New Roman" w:hAnsi="Times New Roman"/>
        </w:rPr>
        <w:t>上</w:t>
      </w:r>
      <w:r>
        <w:rPr>
          <w:rFonts w:hint="eastAsia" w:ascii="Times New Roman" w:hAnsi="Times New Roman"/>
        </w:rPr>
        <w:t>签名</w:t>
      </w:r>
      <w:r>
        <w:rPr>
          <w:rFonts w:ascii="Times New Roman" w:hAnsi="Times New Roman"/>
        </w:rPr>
        <w:t>确认；</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Lines="50" w:afterLines="50"/>
        <w:outlineLvl w:val="1"/>
        <w:rPr>
          <w:rFonts w:ascii="Times New Roman" w:hAnsi="Times New Roman" w:eastAsia="黑体" w:cs="Times New Roman"/>
          <w:bCs/>
          <w:sz w:val="24"/>
          <w:szCs w:val="32"/>
        </w:rPr>
      </w:pPr>
      <w:bookmarkStart w:id="44" w:name="_Toc26656972"/>
      <w:bookmarkStart w:id="45" w:name="_Toc14201241"/>
      <w:bookmarkStart w:id="46" w:name="_Toc9067725"/>
      <w:r>
        <w:rPr>
          <w:rFonts w:ascii="Times New Roman" w:hAnsi="Times New Roman" w:eastAsia="黑体" w:cs="Times New Roman"/>
          <w:bCs/>
          <w:sz w:val="24"/>
          <w:szCs w:val="32"/>
        </w:rPr>
        <w:t>6. 评</w:t>
      </w:r>
      <w:bookmarkEnd w:id="44"/>
      <w:bookmarkEnd w:id="45"/>
      <w:bookmarkEnd w:id="46"/>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47" w:name="_Toc14201242"/>
      <w:bookmarkStart w:id="48" w:name="_Toc26656973"/>
      <w:r>
        <w:rPr>
          <w:rFonts w:ascii="Times New Roman" w:hAnsi="Times New Roman" w:eastAsia="黑体" w:cs="Times New Roman"/>
          <w:bCs/>
          <w:sz w:val="24"/>
          <w:szCs w:val="32"/>
        </w:rPr>
        <w:t>6.1</w:t>
      </w:r>
      <w:bookmarkEnd w:id="47"/>
      <w:bookmarkEnd w:id="48"/>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评审小组人数：3~7人（单数）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49" w:name="_Toc26656975"/>
      <w:bookmarkStart w:id="50" w:name="_Toc14201244"/>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49"/>
      <w:bookmarkEnd w:id="50"/>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r>
        <w:rPr>
          <w:rFonts w:ascii="Times New Roman" w:hAnsi="Times New Roman" w:cs="Times New Roman"/>
        </w:rPr>
        <w:t>。</w:t>
      </w:r>
    </w:p>
    <w:p>
      <w:pPr>
        <w:keepNext/>
        <w:keepLines/>
        <w:spacing w:beforeLines="50" w:afterLines="50"/>
        <w:outlineLvl w:val="1"/>
        <w:rPr>
          <w:rFonts w:ascii="Times New Roman" w:hAnsi="Times New Roman" w:eastAsia="黑体" w:cs="Times New Roman"/>
          <w:bCs/>
          <w:sz w:val="24"/>
          <w:szCs w:val="32"/>
        </w:rPr>
      </w:pPr>
      <w:bookmarkStart w:id="51" w:name="_Toc9067726"/>
      <w:bookmarkStart w:id="52" w:name="_Toc14201245"/>
      <w:bookmarkStart w:id="53" w:name="_Toc26656976"/>
      <w:r>
        <w:rPr>
          <w:rFonts w:ascii="Times New Roman" w:hAnsi="Times New Roman" w:eastAsia="黑体" w:cs="Times New Roman"/>
          <w:bCs/>
          <w:sz w:val="24"/>
          <w:szCs w:val="32"/>
        </w:rPr>
        <w:t>7. 合同授予</w:t>
      </w:r>
      <w:bookmarkEnd w:id="51"/>
      <w:bookmarkEnd w:id="52"/>
      <w:bookmarkEnd w:id="53"/>
    </w:p>
    <w:p>
      <w:pPr>
        <w:keepNext/>
        <w:keepLines/>
        <w:spacing w:before="120" w:after="120"/>
        <w:outlineLvl w:val="2"/>
        <w:rPr>
          <w:rFonts w:ascii="Times New Roman" w:hAnsi="Times New Roman" w:eastAsia="黑体" w:cs="Times New Roman"/>
          <w:bCs/>
          <w:sz w:val="24"/>
          <w:szCs w:val="32"/>
        </w:rPr>
      </w:pPr>
      <w:bookmarkStart w:id="54" w:name="_Toc26656977"/>
      <w:bookmarkStart w:id="55" w:name="_Toc14201246"/>
      <w:r>
        <w:rPr>
          <w:rFonts w:ascii="Times New Roman" w:hAnsi="Times New Roman" w:eastAsia="黑体" w:cs="Times New Roman"/>
          <w:bCs/>
          <w:sz w:val="24"/>
          <w:szCs w:val="32"/>
        </w:rPr>
        <w:t>7.1成交候选人公示</w:t>
      </w:r>
      <w:bookmarkEnd w:id="54"/>
      <w:bookmarkEnd w:id="55"/>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56" w:name="_Toc26656978"/>
      <w:bookmarkStart w:id="57" w:name="_Toc14201247"/>
      <w:r>
        <w:rPr>
          <w:rFonts w:ascii="Times New Roman" w:hAnsi="Times New Roman" w:eastAsia="黑体" w:cs="Times New Roman"/>
          <w:bCs/>
          <w:sz w:val="24"/>
          <w:szCs w:val="32"/>
        </w:rPr>
        <w:t>7.2评审结果异议</w:t>
      </w:r>
      <w:bookmarkEnd w:id="56"/>
      <w:bookmarkEnd w:id="57"/>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58" w:name="_Toc14201248"/>
      <w:bookmarkStart w:id="59" w:name="_Toc26656979"/>
      <w:r>
        <w:rPr>
          <w:rFonts w:ascii="Times New Roman" w:hAnsi="Times New Roman" w:eastAsia="黑体" w:cs="Times New Roman"/>
          <w:bCs/>
          <w:sz w:val="24"/>
          <w:szCs w:val="32"/>
        </w:rPr>
        <w:t>7.3成交候选人履约能力审查</w:t>
      </w:r>
      <w:bookmarkEnd w:id="58"/>
      <w:bookmarkEnd w:id="59"/>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60" w:name="_Toc26656984"/>
      <w:bookmarkStart w:id="61" w:name="_Toc14201253"/>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60"/>
      <w:bookmarkEnd w:id="61"/>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采购人取消其成交资格；给采购人造成的损失的，成交人还应予以赔偿。</w:t>
      </w:r>
    </w:p>
    <w:p>
      <w:pPr>
        <w:keepNext/>
        <w:keepLines/>
        <w:spacing w:beforeLines="50" w:afterLines="50"/>
        <w:outlineLvl w:val="1"/>
        <w:rPr>
          <w:rFonts w:ascii="Times New Roman" w:hAnsi="Times New Roman" w:eastAsia="黑体" w:cs="Times New Roman"/>
          <w:bCs/>
          <w:sz w:val="24"/>
          <w:szCs w:val="32"/>
        </w:rPr>
      </w:pPr>
      <w:bookmarkStart w:id="62" w:name="_Toc9067727"/>
      <w:bookmarkStart w:id="63" w:name="_Toc14201257"/>
      <w:bookmarkStart w:id="64" w:name="_Toc26656988"/>
      <w:r>
        <w:rPr>
          <w:rFonts w:ascii="Times New Roman" w:hAnsi="Times New Roman" w:eastAsia="黑体" w:cs="Times New Roman"/>
          <w:bCs/>
          <w:sz w:val="24"/>
          <w:szCs w:val="32"/>
        </w:rPr>
        <w:t>8. 纪律和监督</w:t>
      </w:r>
      <w:bookmarkEnd w:id="62"/>
      <w:bookmarkEnd w:id="63"/>
      <w:bookmarkEnd w:id="64"/>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Lines="50" w:afterLines="50"/>
        <w:outlineLvl w:val="1"/>
        <w:rPr>
          <w:rFonts w:ascii="Times New Roman" w:hAnsi="Times New Roman" w:eastAsia="黑体" w:cs="Times New Roman"/>
          <w:bCs/>
          <w:sz w:val="24"/>
          <w:szCs w:val="32"/>
        </w:rPr>
      </w:pPr>
      <w:bookmarkStart w:id="65" w:name="_Toc26656993"/>
      <w:bookmarkStart w:id="66" w:name="_Toc14201262"/>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 xml:space="preserve"> 投诉</w:t>
      </w:r>
      <w:bookmarkEnd w:id="65"/>
      <w:bookmarkEnd w:id="66"/>
    </w:p>
    <w:p>
      <w:pPr>
        <w:spacing w:line="440" w:lineRule="exact"/>
        <w:ind w:firstLine="420"/>
        <w:rPr>
          <w:rFonts w:ascii="Times New Roman" w:hAnsi="Times New Roman" w:cs="Times New Roman"/>
        </w:rPr>
      </w:pPr>
      <w:r>
        <w:rPr>
          <w:rFonts w:ascii="Times New Roman" w:hAnsi="Times New Roman" w:cs="Times New Roman"/>
        </w:rPr>
        <w:t>供应商或其他利害关系人认为询比活动不符合法律法规规定的，可以自知道或应当知道之日起10日内向有关监督部门投诉。投诉应有明确的请求和必要的证明材料。</w:t>
      </w:r>
    </w:p>
    <w:p>
      <w:pPr>
        <w:keepNext/>
        <w:keepLines/>
        <w:spacing w:beforeLines="50" w:afterLines="50"/>
        <w:outlineLvl w:val="1"/>
        <w:rPr>
          <w:rFonts w:ascii="Times New Roman" w:hAnsi="Times New Roman" w:eastAsia="黑体" w:cs="Times New Roman"/>
          <w:bCs/>
          <w:sz w:val="24"/>
          <w:szCs w:val="32"/>
        </w:rPr>
      </w:pPr>
      <w:bookmarkStart w:id="67" w:name="_Toc9067731"/>
      <w:bookmarkStart w:id="68" w:name="_Toc26656994"/>
      <w:bookmarkStart w:id="69" w:name="_Toc14201263"/>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w:t>
      </w:r>
      <w:r>
        <w:rPr>
          <w:rFonts w:hint="eastAsia" w:ascii="Times New Roman" w:hAnsi="Times New Roman" w:eastAsia="黑体" w:cs="Times New Roman"/>
          <w:bCs/>
          <w:sz w:val="24"/>
          <w:szCs w:val="32"/>
        </w:rPr>
        <w:t xml:space="preserve"> </w:t>
      </w:r>
      <w:r>
        <w:rPr>
          <w:rFonts w:ascii="Times New Roman" w:hAnsi="Times New Roman" w:eastAsia="黑体" w:cs="Times New Roman"/>
          <w:bCs/>
          <w:sz w:val="24"/>
          <w:szCs w:val="32"/>
        </w:rPr>
        <w:t>需要补充的其他内容</w:t>
      </w:r>
      <w:bookmarkEnd w:id="67"/>
      <w:bookmarkEnd w:id="68"/>
      <w:bookmarkEnd w:id="69"/>
    </w:p>
    <w:p>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rPr>
        <w:t>_____________________。</w:t>
      </w: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Cs w:val="28"/>
        </w:rPr>
      </w:pPr>
    </w:p>
    <w:p>
      <w:r>
        <w:rPr>
          <w:rFonts w:ascii="Times New Roman" w:hAnsi="Times New Roman" w:cs="Times New Roman"/>
          <w:sz w:val="24"/>
          <w:szCs w:val="28"/>
        </w:rPr>
        <w:br w:type="page"/>
      </w:r>
    </w:p>
    <w:p>
      <w:pPr>
        <w:pStyle w:val="2"/>
        <w:numPr>
          <w:ilvl w:val="0"/>
          <w:numId w:val="0"/>
        </w:numPr>
        <w:spacing w:before="312" w:after="312"/>
        <w:rPr>
          <w:rFonts w:ascii="Times New Roman" w:hAnsi="Times New Roman" w:eastAsia="宋体" w:cs="Times New Roman"/>
        </w:rPr>
      </w:pPr>
      <w:bookmarkStart w:id="70" w:name="_Toc18182_WPSOffice_Level1"/>
      <w:r>
        <w:rPr>
          <w:rFonts w:hint="eastAsia" w:ascii="Times New Roman" w:hAnsi="Times New Roman" w:eastAsia="宋体" w:cs="Times New Roman"/>
        </w:rPr>
        <w:t xml:space="preserve">第三章 </w:t>
      </w:r>
      <w:r>
        <w:rPr>
          <w:rFonts w:ascii="Times New Roman" w:hAnsi="Times New Roman" w:eastAsia="宋体" w:cs="Times New Roman"/>
        </w:rPr>
        <w:t>评审办法</w:t>
      </w:r>
      <w:bookmarkEnd w:id="70"/>
    </w:p>
    <w:p>
      <w:pPr>
        <w:rPr>
          <w:rFonts w:ascii="Times New Roman" w:hAnsi="Times New Roman" w:eastAsia="宋体" w:cs="Times New Roman"/>
        </w:rPr>
      </w:pPr>
    </w:p>
    <w:p>
      <w:pPr>
        <w:spacing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（最低价法）</w:t>
      </w:r>
    </w:p>
    <w:tbl>
      <w:tblPr>
        <w:tblStyle w:val="14"/>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48" w:type="dxa"/>
            <w:gridSpan w:val="2"/>
            <w:vAlign w:val="center"/>
          </w:tcPr>
          <w:p>
            <w:pPr>
              <w:widowControl/>
              <w:jc w:val="center"/>
              <w:rPr>
                <w:rFonts w:ascii="Times New Roman" w:hAnsi="Times New Roman" w:cs="Times New Roman"/>
                <w:kern w:val="0"/>
                <w:szCs w:val="21"/>
              </w:rPr>
            </w:pPr>
            <w:r>
              <w:rPr>
                <w:rFonts w:ascii="Times New Roman" w:hAnsi="Times New Roman" w:cs="Times New Roman"/>
                <w:b/>
                <w:bCs/>
                <w:kern w:val="0"/>
                <w:szCs w:val="21"/>
              </w:rPr>
              <w:t>条款号</w:t>
            </w:r>
          </w:p>
        </w:tc>
        <w:tc>
          <w:tcPr>
            <w:tcW w:w="1774" w:type="dxa"/>
            <w:vAlign w:val="center"/>
          </w:tcPr>
          <w:p>
            <w:pPr>
              <w:widowControl/>
              <w:ind w:firstLine="105" w:firstLineChars="50"/>
              <w:jc w:val="center"/>
              <w:rPr>
                <w:rFonts w:ascii="Times New Roman" w:hAnsi="Times New Roman" w:cs="Times New Roman"/>
                <w:kern w:val="0"/>
                <w:szCs w:val="21"/>
              </w:rPr>
            </w:pPr>
            <w:r>
              <w:rPr>
                <w:rFonts w:ascii="Times New Roman" w:hAnsi="Times New Roman" w:cs="Times New Roman"/>
                <w:b/>
                <w:bCs/>
                <w:kern w:val="0"/>
                <w:szCs w:val="21"/>
              </w:rPr>
              <w:t>评审因素</w:t>
            </w:r>
          </w:p>
        </w:tc>
        <w:tc>
          <w:tcPr>
            <w:tcW w:w="5676" w:type="dxa"/>
            <w:vAlign w:val="center"/>
          </w:tcPr>
          <w:p>
            <w:pPr>
              <w:widowControl/>
              <w:ind w:firstLine="105" w:firstLineChars="50"/>
              <w:jc w:val="center"/>
              <w:rPr>
                <w:rFonts w:ascii="Times New Roman" w:hAnsi="Times New Roman" w:cs="Times New Roman"/>
                <w:kern w:val="0"/>
                <w:szCs w:val="21"/>
              </w:rPr>
            </w:pPr>
            <w:r>
              <w:rPr>
                <w:rFonts w:ascii="Times New Roman" w:hAnsi="Times New Roman"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8"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c>
          <w:tcPr>
            <w:tcW w:w="1060"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评审</w:t>
            </w:r>
            <w:r>
              <w:rPr>
                <w:rFonts w:hint="eastAsia" w:ascii="Times New Roman" w:hAnsi="Times New Roman" w:cs="Times New Roman"/>
                <w:bCs/>
                <w:kern w:val="0"/>
                <w:szCs w:val="21"/>
              </w:rPr>
              <w:t>方</w:t>
            </w:r>
            <w:r>
              <w:rPr>
                <w:rFonts w:ascii="Times New Roman" w:hAnsi="Times New Roman"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成交候选人</w:t>
            </w:r>
          </w:p>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排序方法</w:t>
            </w:r>
          </w:p>
        </w:tc>
        <w:tc>
          <w:tcPr>
            <w:tcW w:w="5676" w:type="dxa"/>
            <w:tcMar>
              <w:left w:w="75" w:type="dxa"/>
            </w:tcMar>
            <w:vAlign w:val="center"/>
          </w:tcPr>
          <w:p>
            <w:pPr>
              <w:widowControl/>
              <w:adjustRightInd w:val="0"/>
              <w:snapToGrid w:val="0"/>
              <w:jc w:val="left"/>
            </w:pPr>
            <w:r>
              <w:rPr>
                <w:rFonts w:hint="eastAsia"/>
              </w:rPr>
              <w:t>按评审价由低到高的顺序依次推荐成交候选人：</w:t>
            </w:r>
          </w:p>
          <w:p>
            <w:pPr>
              <w:widowControl/>
              <w:adjustRightInd w:val="0"/>
              <w:snapToGrid w:val="0"/>
              <w:jc w:val="left"/>
            </w:pPr>
            <w:r>
              <w:rPr>
                <w:rFonts w:hint="eastAsia" w:ascii="Times New Roman" w:hAnsi="Times New Roman" w:cs="Times New Roman"/>
                <w:kern w:val="0"/>
                <w:szCs w:val="21"/>
              </w:rPr>
              <w:sym w:font="Wingdings 2" w:char="0052"/>
            </w:r>
            <w:r>
              <w:rPr>
                <w:rFonts w:hint="eastAsia"/>
              </w:rPr>
              <w:t>评审价相等时，以递交响应文件在前的优先。</w:t>
            </w:r>
          </w:p>
          <w:p>
            <w:pPr>
              <w:pStyle w:val="5"/>
              <w:adjustRightInd w:val="0"/>
              <w:snapToGrid w:val="0"/>
            </w:pPr>
            <w:r>
              <w:rPr>
                <w:rFonts w:hint="eastAsia" w:ascii="Times New Roman" w:hAnsi="Times New Roman" w:cs="Times New Roman"/>
                <w:kern w:val="0"/>
                <w:szCs w:val="21"/>
              </w:rPr>
              <w:t>□___________________________</w:t>
            </w:r>
          </w:p>
        </w:tc>
      </w:tr>
    </w:tbl>
    <w:p>
      <w:pPr>
        <w:adjustRightInd w:val="0"/>
        <w:snapToGrid w:val="0"/>
        <w:spacing w:line="360" w:lineRule="auto"/>
        <w:ind w:firstLine="420"/>
        <w:textAlignment w:val="baseline"/>
        <w:rPr>
          <w:rFonts w:ascii="Times New Roman" w:hAnsi="Times New Roman" w:cs="Times New Roman"/>
          <w:szCs w:val="21"/>
        </w:rPr>
      </w:pPr>
    </w:p>
    <w:tbl>
      <w:tblPr>
        <w:tblStyle w:val="14"/>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80" w:type="dxa"/>
            <w:gridSpan w:val="2"/>
            <w:vAlign w:val="center"/>
          </w:tcPr>
          <w:p>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条款号</w:t>
            </w:r>
          </w:p>
        </w:tc>
        <w:tc>
          <w:tcPr>
            <w:tcW w:w="1759" w:type="dxa"/>
            <w:vAlign w:val="center"/>
          </w:tcPr>
          <w:p>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评审因素</w:t>
            </w:r>
          </w:p>
        </w:tc>
        <w:tc>
          <w:tcPr>
            <w:tcW w:w="5659" w:type="dxa"/>
            <w:vAlign w:val="center"/>
          </w:tcPr>
          <w:p>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2.1.1</w:t>
            </w:r>
          </w:p>
        </w:tc>
        <w:tc>
          <w:tcPr>
            <w:tcW w:w="1096" w:type="dxa"/>
            <w:vMerge w:val="restart"/>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形式评审标准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与营业执照、资质证书</w:t>
            </w:r>
            <w:r>
              <w:rPr>
                <w:rFonts w:hint="eastAsia" w:ascii="Times New Roman" w:hAnsi="Times New Roman" w:cs="Times New Roman"/>
                <w:kern w:val="0"/>
                <w:szCs w:val="21"/>
              </w:rPr>
              <w:t>（如有）</w:t>
            </w:r>
            <w:r>
              <w:rPr>
                <w:rFonts w:ascii="Times New Roman" w:hAnsi="Times New Roman" w:cs="Times New Roman"/>
                <w:kern w:val="0"/>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1"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2.1.2</w:t>
            </w:r>
          </w:p>
        </w:tc>
        <w:tc>
          <w:tcPr>
            <w:tcW w:w="1096" w:type="dxa"/>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资格评审标准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符合第二章“供应商须知”第1.</w:t>
            </w:r>
            <w:r>
              <w:rPr>
                <w:rFonts w:hint="eastAsia" w:ascii="Times New Roman" w:hAnsi="Times New Roman" w:cs="Times New Roman"/>
                <w:kern w:val="0"/>
                <w:szCs w:val="21"/>
              </w:rPr>
              <w:t>2</w:t>
            </w:r>
            <w:r>
              <w:rPr>
                <w:rFonts w:ascii="Times New Roman" w:hAnsi="Times New Roman"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2.1.3</w:t>
            </w:r>
          </w:p>
        </w:tc>
        <w:tc>
          <w:tcPr>
            <w:tcW w:w="1096" w:type="dxa"/>
            <w:vMerge w:val="restart"/>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响应性评审标准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rPr>
              <w:t>符合</w:t>
            </w:r>
            <w:r>
              <w:rPr>
                <w:rFonts w:ascii="Times New Roman" w:hAnsi="Times New Roman" w:cs="Times New Roman"/>
              </w:rPr>
              <w:t>第一章“</w:t>
            </w:r>
            <w:r>
              <w:rPr>
                <w:rFonts w:hint="eastAsia" w:ascii="Times New Roman" w:hAnsi="Times New Roman" w:cs="Times New Roman"/>
                <w:szCs w:val="21"/>
              </w:rPr>
              <w:t>采购公告</w:t>
            </w:r>
            <w:r>
              <w:rPr>
                <w:rFonts w:ascii="Times New Roman" w:hAnsi="Times New Roman"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kern w:val="0"/>
                <w:szCs w:val="21"/>
              </w:rPr>
              <w:t>交货期</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rPr>
              <w:t>符合</w:t>
            </w:r>
            <w:r>
              <w:rPr>
                <w:rFonts w:ascii="Times New Roman" w:hAnsi="Times New Roman" w:cs="Times New Roman"/>
              </w:rPr>
              <w:t>第一章“</w:t>
            </w:r>
            <w:r>
              <w:rPr>
                <w:rFonts w:hint="eastAsia" w:ascii="Times New Roman" w:hAnsi="Times New Roman" w:cs="Times New Roman"/>
                <w:szCs w:val="21"/>
              </w:rPr>
              <w:t>采购公告</w:t>
            </w:r>
            <w:r>
              <w:rPr>
                <w:rFonts w:ascii="Times New Roman" w:hAnsi="Times New Roman"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符合第二章“供应商须知”第1.</w:t>
            </w:r>
            <w:r>
              <w:rPr>
                <w:rFonts w:hint="eastAsia" w:ascii="Times New Roman" w:hAnsi="Times New Roman" w:cs="Times New Roman"/>
                <w:kern w:val="0"/>
                <w:szCs w:val="21"/>
              </w:rPr>
              <w:t>1</w:t>
            </w:r>
            <w:r>
              <w:rPr>
                <w:rFonts w:ascii="Times New Roman" w:hAnsi="Times New Roman"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bCs/>
                <w:kern w:val="0"/>
                <w:szCs w:val="21"/>
              </w:rPr>
              <w:t>符合</w:t>
            </w:r>
            <w:r>
              <w:rPr>
                <w:rFonts w:ascii="Times New Roman" w:hAnsi="Times New Roman" w:cs="Times New Roman"/>
              </w:rPr>
              <w:t>第一章“</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cs="Times New Roman"/>
                <w:bCs/>
                <w:kern w:val="0"/>
                <w:szCs w:val="21"/>
              </w:rPr>
            </w:pPr>
            <w:r>
              <w:rPr>
                <w:rFonts w:hint="eastAsia" w:ascii="Times New Roman" w:hAnsi="Times New Roman"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kern w:val="0"/>
                <w:szCs w:val="21"/>
              </w:rPr>
              <w:t>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（1）报价未超过询比文件设定的最高限价。</w:t>
            </w:r>
          </w:p>
          <w:p>
            <w:pPr>
              <w:widowControl/>
              <w:adjustRightInd w:val="0"/>
              <w:snapToGrid w:val="0"/>
              <w:spacing w:line="360" w:lineRule="atLeast"/>
              <w:jc w:val="left"/>
              <w:rPr>
                <w:rFonts w:ascii="Times New Roman" w:hAnsi="Times New Roman"/>
              </w:rPr>
            </w:pPr>
            <w:r>
              <w:rPr>
                <w:rFonts w:hint="eastAsia" w:ascii="Times New Roman" w:hAnsi="Times New Roman"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w:t>
            </w:r>
            <w:r>
              <w:rPr>
                <w:rFonts w:hint="eastAsia" w:ascii="Times New Roman" w:hAnsi="Times New Roman" w:cs="Times New Roman"/>
              </w:rPr>
              <w:t>3</w:t>
            </w:r>
            <w:r>
              <w:rPr>
                <w:rFonts w:ascii="Times New Roman" w:hAnsi="Times New Roman" w:cs="Times New Roman"/>
              </w:rPr>
              <w:t>）报价的大写数值能确定具体数值，未出现数量级错误、报价金额单位错误。</w:t>
            </w:r>
          </w:p>
          <w:p>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w:t>
            </w:r>
            <w:r>
              <w:rPr>
                <w:rFonts w:hint="eastAsia" w:ascii="Times New Roman" w:hAnsi="Times New Roman" w:cs="Times New Roman"/>
              </w:rPr>
              <w:t>4</w:t>
            </w:r>
            <w:r>
              <w:rPr>
                <w:rFonts w:ascii="Times New Roman" w:hAnsi="Times New Roman" w:cs="Times New Roman"/>
              </w:rPr>
              <w:t>）同一供应商未递交两个以上不同的报价。</w:t>
            </w:r>
          </w:p>
          <w:p>
            <w:pPr>
              <w:widowControl/>
              <w:adjustRightInd w:val="0"/>
              <w:snapToGrid w:val="0"/>
              <w:spacing w:line="360" w:lineRule="atLeast"/>
              <w:jc w:val="left"/>
              <w:rPr>
                <w:rFonts w:ascii="Times New Roman" w:hAnsi="Times New Roman"/>
              </w:rPr>
            </w:pPr>
            <w:r>
              <w:rPr>
                <w:rFonts w:ascii="Times New Roman" w:hAnsi="Times New Roman" w:cs="Times New Roman"/>
              </w:rPr>
              <w:t>（</w:t>
            </w:r>
            <w:r>
              <w:rPr>
                <w:rFonts w:hint="eastAsia" w:ascii="Times New Roman" w:hAnsi="Times New Roman" w:cs="Times New Roman"/>
              </w:rPr>
              <w:t>5</w:t>
            </w:r>
            <w:r>
              <w:rPr>
                <w:rFonts w:ascii="Times New Roman" w:hAnsi="Times New Roman" w:cs="Times New Roman"/>
              </w:rPr>
              <w:t>）供应商</w:t>
            </w:r>
            <w:r>
              <w:rPr>
                <w:rFonts w:hint="eastAsia" w:ascii="Times New Roman" w:hAnsi="Times New Roman" w:cs="Times New Roman"/>
              </w:rPr>
              <w:t>按</w:t>
            </w:r>
            <w:r>
              <w:rPr>
                <w:rFonts w:ascii="Times New Roman" w:hAnsi="Times New Roman" w:cs="Times New Roman"/>
              </w:rPr>
              <w:t>采购人提供的书面</w:t>
            </w:r>
            <w:r>
              <w:rPr>
                <w:rFonts w:hint="eastAsia" w:ascii="Times New Roman" w:hAnsi="Times New Roman" w:cs="Times New Roman"/>
              </w:rPr>
              <w:t>报价清单填写了报价，且未修改报价清单说明、数量等实质性内容</w:t>
            </w:r>
            <w:r>
              <w:rPr>
                <w:rFonts w:ascii="Times New Roman" w:hAnsi="Times New Roman" w:cs="Times New Roman"/>
              </w:rPr>
              <w:t>。</w:t>
            </w:r>
          </w:p>
          <w:p>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w:t>
            </w:r>
            <w:r>
              <w:rPr>
                <w:rFonts w:hint="eastAsia" w:ascii="Times New Roman" w:hAnsi="Times New Roman" w:cs="Times New Roman"/>
              </w:rPr>
              <w:t>6</w:t>
            </w:r>
            <w:r>
              <w:rPr>
                <w:rFonts w:ascii="Times New Roman" w:hAnsi="Times New Roman" w:cs="Times New Roman"/>
              </w:rPr>
              <w:t>）已标价</w:t>
            </w:r>
            <w:r>
              <w:rPr>
                <w:rFonts w:hint="eastAsia" w:ascii="Times New Roman" w:hAnsi="Times New Roman" w:cs="Times New Roman"/>
                <w:kern w:val="0"/>
                <w:szCs w:val="21"/>
              </w:rPr>
              <w:t>报价清单</w:t>
            </w:r>
            <w:r>
              <w:rPr>
                <w:rFonts w:ascii="Times New Roman" w:hAnsi="Times New Roman" w:cs="Times New Roman"/>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符合询比文件的其他实质性要求和条件</w:t>
            </w:r>
          </w:p>
        </w:tc>
      </w:tr>
    </w:tbl>
    <w:p>
      <w:pPr>
        <w:widowControl/>
        <w:spacing w:afterLines="100" w:line="420" w:lineRule="exact"/>
        <w:jc w:val="center"/>
        <w:rPr>
          <w:rFonts w:ascii="Times New Roman" w:hAnsi="Times New Roman" w:cs="Times New Roman"/>
          <w:kern w:val="0"/>
          <w:szCs w:val="21"/>
        </w:rPr>
      </w:pPr>
    </w:p>
    <w:p>
      <w:pPr>
        <w:jc w:val="right"/>
        <w:rPr>
          <w:rFonts w:ascii="Times New Roman" w:hAnsi="Times New Roman" w:cs="Times New Roman"/>
        </w:rPr>
      </w:pPr>
    </w:p>
    <w:tbl>
      <w:tblPr>
        <w:tblStyle w:val="14"/>
        <w:tblW w:w="93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67" w:type="dxa"/>
            <w:gridSpan w:val="2"/>
            <w:tcBorders>
              <w:top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b/>
                <w:szCs w:val="21"/>
              </w:rPr>
            </w:pPr>
            <w:r>
              <w:rPr>
                <w:rFonts w:ascii="Times New Roman" w:hAnsi="Times New Roman" w:cs="Times New Roman"/>
                <w:b/>
                <w:szCs w:val="21"/>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b/>
                <w:szCs w:val="21"/>
              </w:rPr>
            </w:pPr>
            <w:r>
              <w:rPr>
                <w:rFonts w:ascii="Times New Roman" w:hAnsi="Times New Roman" w:cs="Times New Roman"/>
                <w:b/>
                <w:szCs w:val="21"/>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b/>
                <w:szCs w:val="21"/>
              </w:rPr>
            </w:pPr>
            <w:r>
              <w:rPr>
                <w:rFonts w:ascii="Times New Roman" w:hAnsi="Times New Roman" w:cs="Times New Roman"/>
                <w:b/>
                <w:szCs w:val="21"/>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62" w:type="dxa"/>
            <w:tcBorders>
              <w:top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b/>
                <w:szCs w:val="21"/>
              </w:rPr>
            </w:pPr>
            <w:r>
              <w:rPr>
                <w:rFonts w:ascii="Times New Roman" w:hAnsi="Times New Roman" w:cs="Times New Roman"/>
                <w:szCs w:val="21"/>
              </w:rPr>
              <w:t>2.2</w:t>
            </w:r>
          </w:p>
        </w:tc>
        <w:tc>
          <w:tcPr>
            <w:tcW w:w="1605" w:type="dxa"/>
            <w:tcBorders>
              <w:top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szCs w:val="21"/>
              </w:rPr>
            </w:pPr>
            <w:r>
              <w:rPr>
                <w:rFonts w:ascii="Times New Roman" w:hAnsi="Times New Roman" w:cs="Times New Roman"/>
                <w:szCs w:val="21"/>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szCs w:val="21"/>
              </w:rPr>
            </w:pPr>
            <w:r>
              <w:rPr>
                <w:rFonts w:ascii="Times New Roman" w:hAnsi="Times New Roman" w:cs="Times New Roman"/>
                <w:szCs w:val="21"/>
              </w:rPr>
              <w:t>评审价计算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 w:val="32"/>
                <w:szCs w:val="32"/>
              </w:rPr>
            </w:pPr>
            <w:r>
              <w:rPr>
                <w:rFonts w:ascii="Times New Roman" w:hAnsi="Times New Roman" w:cs="Times New Roman"/>
                <w:kern w:val="0"/>
                <w:szCs w:val="21"/>
              </w:rPr>
              <w:t>评审价＝报价函文字报价</w:t>
            </w:r>
            <w:r>
              <w:rPr>
                <w:rFonts w:hint="eastAsia" w:ascii="Times New Roman" w:hAnsi="Times New Roman" w:cs="Times New Roman"/>
                <w:szCs w:val="21"/>
              </w:rPr>
              <w:t>（大小写不一致时以大写为准）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31" w:type="dxa"/>
            <w:gridSpan w:val="4"/>
            <w:tcBorders>
              <w:top w:val="single" w:color="auto" w:sz="4" w:space="0"/>
              <w:bottom w:val="single" w:color="auto" w:sz="4" w:space="0"/>
              <w:right w:val="single" w:color="auto" w:sz="4" w:space="0"/>
            </w:tcBorders>
            <w:vAlign w:val="center"/>
          </w:tcPr>
          <w:p>
            <w:pPr>
              <w:spacing w:line="360" w:lineRule="atLeast"/>
              <w:rPr>
                <w:rFonts w:ascii="Times New Roman" w:hAnsi="Times New Roman" w:cs="Times New Roman"/>
                <w:szCs w:val="21"/>
              </w:rPr>
            </w:pPr>
            <w:r>
              <w:rPr>
                <w:rFonts w:ascii="Times New Roman" w:hAnsi="Times New Roman" w:cs="Times New Roman"/>
                <w:szCs w:val="21"/>
              </w:rPr>
              <w:t>需要补充的其他内容：</w:t>
            </w:r>
          </w:p>
          <w:p>
            <w:pPr>
              <w:spacing w:line="360" w:lineRule="atLeast"/>
              <w:rPr>
                <w:rFonts w:ascii="Times New Roman" w:hAnsi="Times New Roman" w:cs="Times New Roman"/>
                <w:szCs w:val="21"/>
              </w:rPr>
            </w:pPr>
            <w:r>
              <w:rPr>
                <w:rFonts w:ascii="Times New Roman" w:hAnsi="Times New Roman" w:cs="Times New Roman"/>
                <w:szCs w:val="21"/>
              </w:rPr>
              <w:t>……</w:t>
            </w:r>
          </w:p>
        </w:tc>
      </w:tr>
    </w:tbl>
    <w:p>
      <w:pPr>
        <w:keepNext/>
        <w:keepLines/>
        <w:spacing w:beforeLines="50"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cs="Times New Roman"/>
        </w:rPr>
      </w:pPr>
      <w:r>
        <w:rPr>
          <w:rFonts w:ascii="Times New Roman" w:hAnsi="Times New Roman" w:cs="Times New Roman"/>
        </w:rPr>
        <w:t>本次评</w:t>
      </w:r>
      <w:r>
        <w:rPr>
          <w:rFonts w:hint="eastAsia" w:ascii="Times New Roman" w:hAnsi="Times New Roman" w:cs="Times New Roman"/>
        </w:rPr>
        <w:t>审</w:t>
      </w:r>
      <w:r>
        <w:rPr>
          <w:rFonts w:ascii="Times New Roman" w:hAnsi="Times New Roman" w:cs="Times New Roman"/>
        </w:rPr>
        <w:t>采用经评审的最低价法。</w:t>
      </w:r>
      <w:r>
        <w:rPr>
          <w:rFonts w:hint="eastAsia" w:ascii="Times New Roman" w:hAnsi="Times New Roman" w:cs="Times New Roman"/>
        </w:rPr>
        <w:t>评审小组</w:t>
      </w:r>
      <w:r>
        <w:rPr>
          <w:rFonts w:ascii="Times New Roman" w:hAnsi="Times New Roman" w:cs="Times New Roman"/>
        </w:rPr>
        <w:t>对满足</w:t>
      </w:r>
      <w:r>
        <w:rPr>
          <w:rFonts w:hint="eastAsia" w:ascii="Times New Roman" w:hAnsi="Times New Roman" w:cs="Times New Roman"/>
        </w:rPr>
        <w:t>询比文件</w:t>
      </w:r>
      <w:r>
        <w:rPr>
          <w:rFonts w:ascii="Times New Roman" w:hAnsi="Times New Roman" w:cs="Times New Roman"/>
        </w:rPr>
        <w:t>实质性要求的</w:t>
      </w:r>
      <w:r>
        <w:rPr>
          <w:rFonts w:hint="eastAsia" w:ascii="Times New Roman" w:hAnsi="Times New Roman" w:cs="Times New Roman"/>
        </w:rPr>
        <w:t>响应</w:t>
      </w:r>
      <w:r>
        <w:rPr>
          <w:rFonts w:ascii="Times New Roman" w:hAnsi="Times New Roman" w:cs="Times New Roman"/>
        </w:rPr>
        <w:t>文件，按照</w:t>
      </w:r>
      <w:r>
        <w:rPr>
          <w:rFonts w:hint="eastAsia" w:ascii="Times New Roman" w:hAnsi="Times New Roman" w:cs="Times New Roman"/>
        </w:rPr>
        <w:t>评审</w:t>
      </w:r>
      <w:r>
        <w:rPr>
          <w:rFonts w:ascii="Times New Roman" w:hAnsi="Times New Roman" w:cs="Times New Roman"/>
        </w:rPr>
        <w:t>价由低到高的顺序依次推荐</w:t>
      </w:r>
      <w:r>
        <w:rPr>
          <w:rFonts w:hint="eastAsia" w:ascii="Times New Roman" w:hAnsi="Times New Roman" w:cs="Times New Roman"/>
        </w:rPr>
        <w:t>成交候选人</w:t>
      </w:r>
      <w:r>
        <w:rPr>
          <w:rFonts w:ascii="Times New Roman" w:hAnsi="Times New Roman" w:cs="Times New Roman"/>
        </w:rPr>
        <w:t>。如</w:t>
      </w:r>
      <w:r>
        <w:rPr>
          <w:rFonts w:hint="eastAsia" w:ascii="Times New Roman" w:hAnsi="Times New Roman" w:cs="Times New Roman"/>
        </w:rPr>
        <w:t>报价</w:t>
      </w:r>
      <w:r>
        <w:rPr>
          <w:rFonts w:ascii="Times New Roman" w:hAnsi="Times New Roman" w:cs="Times New Roman"/>
        </w:rPr>
        <w:t>相同的，按照</w:t>
      </w:r>
      <w:r>
        <w:rPr>
          <w:rFonts w:hint="eastAsia" w:ascii="Times New Roman" w:hAnsi="Times New Roman" w:cs="Times New Roman"/>
        </w:rPr>
        <w:t>评审</w:t>
      </w:r>
      <w:r>
        <w:rPr>
          <w:rFonts w:ascii="Times New Roman" w:hAnsi="Times New Roman" w:cs="Times New Roman"/>
        </w:rPr>
        <w:t>办法前附表中的规定确定</w:t>
      </w:r>
      <w:r>
        <w:rPr>
          <w:rFonts w:hint="eastAsia" w:ascii="Times New Roman" w:hAnsi="Times New Roman" w:cs="Times New Roman"/>
        </w:rPr>
        <w:t>成交候选人</w:t>
      </w:r>
      <w:r>
        <w:rPr>
          <w:rFonts w:ascii="Times New Roman" w:hAnsi="Times New Roman" w:cs="Times New Roman"/>
        </w:rPr>
        <w:t>顺序。</w:t>
      </w:r>
    </w:p>
    <w:p>
      <w:pPr>
        <w:keepNext/>
        <w:keepLines/>
        <w:spacing w:beforeLines="50"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cs="Times New Roman"/>
        </w:rPr>
      </w:pPr>
      <w:r>
        <w:rPr>
          <w:rFonts w:ascii="Times New Roman" w:hAnsi="Times New Roman" w:cs="Times New Roman"/>
        </w:rPr>
        <w:t>2.1.1 形式评审标准：见评审办法前附表。</w:t>
      </w:r>
    </w:p>
    <w:p>
      <w:pPr>
        <w:spacing w:line="440" w:lineRule="exact"/>
        <w:ind w:firstLine="420"/>
        <w:rPr>
          <w:rFonts w:ascii="Times New Roman" w:hAnsi="Times New Roman" w:cs="Times New Roman"/>
        </w:rPr>
      </w:pPr>
      <w:r>
        <w:rPr>
          <w:rFonts w:ascii="Times New Roman" w:hAnsi="Times New Roman" w:cs="Times New Roman"/>
        </w:rPr>
        <w:t>2.1.2 资格评审标准：见评审办法前附表。</w:t>
      </w:r>
    </w:p>
    <w:p>
      <w:pPr>
        <w:spacing w:line="440" w:lineRule="exact"/>
        <w:ind w:firstLine="420"/>
        <w:rPr>
          <w:rFonts w:ascii="Times New Roman" w:hAnsi="Times New Roman" w:cs="Times New Roman"/>
        </w:rPr>
      </w:pPr>
      <w:r>
        <w:rPr>
          <w:rFonts w:ascii="Times New Roman" w:hAnsi="Times New Roman"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详细评审标准</w:t>
      </w:r>
    </w:p>
    <w:p>
      <w:pPr>
        <w:spacing w:line="440" w:lineRule="exact"/>
        <w:ind w:firstLine="420"/>
        <w:rPr>
          <w:rFonts w:ascii="Times New Roman" w:hAnsi="Times New Roman" w:cs="Times New Roman"/>
        </w:rPr>
      </w:pPr>
      <w:r>
        <w:rPr>
          <w:rFonts w:ascii="Times New Roman" w:hAnsi="Times New Roman" w:cs="Times New Roman"/>
        </w:rPr>
        <w:t>详细评审标准：见评审办法前附表。</w:t>
      </w:r>
    </w:p>
    <w:p>
      <w:pPr>
        <w:keepNext/>
        <w:keepLines/>
        <w:spacing w:beforeLines="50"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cs="Times New Roman"/>
        </w:rPr>
      </w:pPr>
      <w:r>
        <w:rPr>
          <w:rFonts w:ascii="Times New Roman" w:hAnsi="Times New Roman" w:cs="Times New Roman"/>
        </w:rPr>
        <w:t>3.1.1</w:t>
      </w:r>
      <w:r>
        <w:rPr>
          <w:rFonts w:hint="eastAsia" w:ascii="Times New Roman" w:hAnsi="Times New Roman" w:cs="Times New Roman"/>
        </w:rPr>
        <w:t>评审小组</w:t>
      </w:r>
      <w:r>
        <w:rPr>
          <w:rFonts w:ascii="Times New Roman" w:hAnsi="Times New Roman" w:cs="Times New Roman"/>
        </w:rPr>
        <w:t>依据本章第2.1.1项、第2.1.2项、第2.1.3项规定的标准对响应文件进行评审。有一项不符合评审标准的，</w:t>
      </w:r>
      <w:r>
        <w:rPr>
          <w:rFonts w:hint="eastAsia" w:ascii="Times New Roman" w:hAnsi="Times New Roman" w:cs="Times New Roman"/>
        </w:rPr>
        <w:t>评审小组</w:t>
      </w:r>
      <w:r>
        <w:rPr>
          <w:rFonts w:ascii="Times New Roman" w:hAnsi="Times New Roman" w:cs="Times New Roman"/>
        </w:rPr>
        <w:t>应否决其</w:t>
      </w:r>
      <w:r>
        <w:rPr>
          <w:rFonts w:hint="eastAsia" w:ascii="Times New Roman" w:hAnsi="Times New Roman" w:cs="Times New Roman"/>
        </w:rPr>
        <w:t>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3.1.</w:t>
      </w:r>
      <w:r>
        <w:rPr>
          <w:rFonts w:hint="eastAsia" w:ascii="Times New Roman" w:hAnsi="Times New Roman" w:cs="Times New Roman"/>
        </w:rPr>
        <w:t xml:space="preserve">2 </w:t>
      </w:r>
      <w:r>
        <w:rPr>
          <w:rFonts w:ascii="Times New Roman" w:hAnsi="Times New Roman" w:cs="Times New Roman"/>
        </w:rPr>
        <w:t>响应文件中填报的报价、</w:t>
      </w:r>
      <w:r>
        <w:rPr>
          <w:rFonts w:hint="eastAsia" w:ascii="Times New Roman" w:hAnsi="Times New Roman" w:cs="Times New Roman"/>
        </w:rPr>
        <w:t>交货期</w:t>
      </w:r>
      <w:r>
        <w:rPr>
          <w:rFonts w:ascii="Times New Roman" w:hAnsi="Times New Roman" w:cs="Times New Roman"/>
        </w:rPr>
        <w:t>、质量标准前后不一致时，</w:t>
      </w:r>
      <w:r>
        <w:rPr>
          <w:rFonts w:hint="eastAsia" w:ascii="Times New Roman" w:hAnsi="Times New Roman" w:cs="Times New Roman"/>
        </w:rPr>
        <w:t>按细微偏差处理，并</w:t>
      </w:r>
      <w:r>
        <w:rPr>
          <w:rFonts w:ascii="Times New Roman" w:hAnsi="Times New Roman" w:cs="Times New Roman"/>
        </w:rPr>
        <w:t>以报价函填报的为准</w:t>
      </w:r>
      <w:r>
        <w:rPr>
          <w:rFonts w:hint="eastAsia" w:ascii="Times New Roman" w:hAnsi="Times New Roman" w:cs="Times New Roman"/>
        </w:rPr>
        <w:t>。</w:t>
      </w:r>
    </w:p>
    <w:p>
      <w:pPr>
        <w:keepNext/>
        <w:keepLines/>
        <w:spacing w:before="120" w:after="120"/>
        <w:outlineLvl w:val="2"/>
        <w:rPr>
          <w:rFonts w:ascii="Times New Roman" w:hAnsi="Times New Roman" w:cs="Times New Roman"/>
        </w:rPr>
      </w:pPr>
      <w:r>
        <w:rPr>
          <w:rFonts w:ascii="Times New Roman" w:hAnsi="Times New Roman" w:eastAsia="黑体" w:cs="Times New Roman"/>
          <w:bCs/>
          <w:sz w:val="24"/>
          <w:szCs w:val="32"/>
        </w:rPr>
        <w:t>3.2 详细评审</w:t>
      </w:r>
    </w:p>
    <w:p>
      <w:pPr>
        <w:spacing w:line="440" w:lineRule="exact"/>
        <w:ind w:firstLine="440"/>
        <w:rPr>
          <w:rFonts w:ascii="Times New Roman" w:hAnsi="Times New Roman" w:cs="Times New Roman"/>
        </w:rPr>
      </w:pPr>
      <w:r>
        <w:rPr>
          <w:rFonts w:hint="eastAsia" w:ascii="Times New Roman" w:hAnsi="Times New Roman" w:cs="Times New Roman"/>
        </w:rPr>
        <w:t>评审小组</w:t>
      </w:r>
      <w:r>
        <w:rPr>
          <w:rFonts w:ascii="Times New Roman" w:hAnsi="Times New Roman" w:cs="Times New Roman"/>
        </w:rPr>
        <w:t>按本章第2.2款规定</w:t>
      </w:r>
      <w:r>
        <w:rPr>
          <w:rFonts w:hint="eastAsia" w:ascii="Times New Roman" w:hAnsi="Times New Roman" w:cs="Times New Roman"/>
        </w:rPr>
        <w:t>进行评审价排序</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cs="Times New Roman"/>
        </w:rPr>
      </w:pPr>
      <w:r>
        <w:rPr>
          <w:rFonts w:hint="eastAsia" w:ascii="Times New Roman" w:hAnsi="Times New Roman" w:cs="Times New Roman"/>
        </w:rPr>
        <w:t>评审小组</w:t>
      </w:r>
      <w:r>
        <w:rPr>
          <w:rFonts w:ascii="Times New Roman" w:hAnsi="Times New Roman" w:cs="Times New Roman"/>
        </w:rPr>
        <w:t>应对在评审过程中发现供应商存在串通报价、弄虚作假、行贿等违法行为的，</w:t>
      </w:r>
      <w:r>
        <w:rPr>
          <w:rFonts w:hint="eastAsia" w:ascii="Times New Roman" w:hAnsi="Times New Roman" w:cs="Times New Roman"/>
        </w:rPr>
        <w:t>评审小组</w:t>
      </w:r>
      <w:r>
        <w:rPr>
          <w:rFonts w:ascii="Times New Roman" w:hAnsi="Times New Roman" w:cs="Times New Roman"/>
        </w:rPr>
        <w:t>应否决其</w:t>
      </w:r>
      <w:r>
        <w:rPr>
          <w:rFonts w:hint="eastAsia" w:ascii="Times New Roman" w:hAnsi="Times New Roman" w:cs="Times New Roman"/>
        </w:rPr>
        <w:t>响应文件</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响应文件的澄清和说明或补正</w:t>
      </w:r>
    </w:p>
    <w:p>
      <w:pPr>
        <w:spacing w:line="440" w:lineRule="exact"/>
        <w:ind w:firstLine="420"/>
        <w:rPr>
          <w:rFonts w:ascii="Times New Roman" w:hAnsi="Times New Roman" w:cs="Times New Roman"/>
        </w:rPr>
      </w:pPr>
      <w:r>
        <w:rPr>
          <w:rFonts w:ascii="Times New Roman" w:hAnsi="Times New Roman" w:cs="Times New Roman"/>
        </w:rPr>
        <w:t>3.4.1 在评审过程中，</w:t>
      </w:r>
      <w:r>
        <w:rPr>
          <w:rFonts w:hint="eastAsia" w:ascii="Times New Roman" w:hAnsi="Times New Roman" w:cs="Times New Roman"/>
        </w:rPr>
        <w:t>评审小组</w:t>
      </w:r>
      <w:r>
        <w:rPr>
          <w:rFonts w:ascii="Times New Roman" w:hAnsi="Times New Roman" w:cs="Times New Roman"/>
        </w:rPr>
        <w:t>可以书面形式要求供应商对响应文件中含义不明确、对同类问题表述不一致或者有明显文字</w:t>
      </w:r>
      <w:r>
        <w:rPr>
          <w:rFonts w:hint="eastAsia" w:ascii="Times New Roman" w:hAnsi="Times New Roman" w:cs="Times New Roman"/>
        </w:rPr>
        <w:t>错误</w:t>
      </w:r>
      <w:r>
        <w:rPr>
          <w:rFonts w:ascii="Times New Roman" w:hAnsi="Times New Roman" w:cs="Times New Roman"/>
        </w:rPr>
        <w:t>的内容做必要的澄清。</w:t>
      </w:r>
      <w:r>
        <w:rPr>
          <w:rFonts w:hint="eastAsia" w:ascii="Times New Roman" w:hAnsi="Times New Roman" w:cs="Times New Roman"/>
        </w:rPr>
        <w:t>评审小组</w:t>
      </w:r>
      <w:r>
        <w:rPr>
          <w:rFonts w:ascii="Times New Roman" w:hAnsi="Times New Roman" w:cs="Times New Roman"/>
        </w:rPr>
        <w:t>不接受供应商主动提出的澄清。</w:t>
      </w:r>
    </w:p>
    <w:p>
      <w:pPr>
        <w:spacing w:line="440" w:lineRule="exact"/>
        <w:ind w:firstLine="420"/>
        <w:rPr>
          <w:rFonts w:ascii="Times New Roman" w:hAnsi="Times New Roman" w:cs="Times New Roman"/>
        </w:rPr>
      </w:pPr>
      <w:r>
        <w:rPr>
          <w:rFonts w:ascii="Times New Roman" w:hAnsi="Times New Roman"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3.5 评审结果</w:t>
      </w:r>
    </w:p>
    <w:p>
      <w:pPr>
        <w:spacing w:line="440" w:lineRule="exact"/>
        <w:ind w:firstLine="420"/>
        <w:rPr>
          <w:rFonts w:ascii="Times New Roman" w:hAnsi="Times New Roman" w:cs="Times New Roman"/>
        </w:rPr>
      </w:pPr>
      <w:r>
        <w:rPr>
          <w:rFonts w:ascii="Times New Roman" w:hAnsi="Times New Roman" w:cs="Times New Roman"/>
        </w:rPr>
        <w:t>评审报告应当如实记载以下内容：</w:t>
      </w:r>
    </w:p>
    <w:p>
      <w:pPr>
        <w:spacing w:line="440" w:lineRule="exact"/>
        <w:ind w:firstLine="420"/>
        <w:rPr>
          <w:rFonts w:ascii="Times New Roman" w:hAnsi="Times New Roman" w:cs="Times New Roman"/>
        </w:rPr>
      </w:pPr>
      <w:bookmarkStart w:id="71" w:name="_Toc21524_WPSOffice_Level2"/>
      <w:bookmarkStart w:id="72" w:name="_Toc12245_WPSOffice_Level2"/>
      <w:bookmarkStart w:id="73" w:name="_Toc218_WPSOffice_Level2"/>
      <w:r>
        <w:rPr>
          <w:rFonts w:ascii="Times New Roman" w:hAnsi="Times New Roman" w:cs="Times New Roman"/>
        </w:rPr>
        <w:t>（一）采购项目基本情况</w:t>
      </w:r>
      <w:bookmarkEnd w:id="71"/>
      <w:bookmarkEnd w:id="72"/>
      <w:bookmarkEnd w:id="73"/>
    </w:p>
    <w:p>
      <w:pPr>
        <w:spacing w:line="440" w:lineRule="exact"/>
        <w:ind w:firstLine="420"/>
        <w:rPr>
          <w:rFonts w:ascii="Times New Roman" w:hAnsi="Times New Roman" w:cs="Times New Roman"/>
        </w:rPr>
      </w:pPr>
      <w:bookmarkStart w:id="74" w:name="_Toc8414_WPSOffice_Level2"/>
      <w:bookmarkStart w:id="75" w:name="_Toc5856_WPSOffice_Level2"/>
      <w:bookmarkStart w:id="76" w:name="_Toc31322_WPSOffice_Level2"/>
      <w:r>
        <w:rPr>
          <w:rFonts w:ascii="Times New Roman" w:hAnsi="Times New Roman" w:cs="Times New Roman"/>
        </w:rPr>
        <w:t>（二）采购过程回顾</w:t>
      </w:r>
      <w:bookmarkEnd w:id="74"/>
      <w:bookmarkEnd w:id="75"/>
      <w:bookmarkEnd w:id="76"/>
    </w:p>
    <w:p>
      <w:pPr>
        <w:spacing w:line="440" w:lineRule="exact"/>
        <w:ind w:firstLine="420"/>
        <w:rPr>
          <w:rFonts w:ascii="Times New Roman" w:hAnsi="Times New Roman" w:cs="Times New Roman"/>
        </w:rPr>
      </w:pPr>
      <w:bookmarkStart w:id="77" w:name="_Toc1346_WPSOffice_Level2"/>
      <w:bookmarkStart w:id="78" w:name="_Toc15620_WPSOffice_Level2"/>
      <w:bookmarkStart w:id="79" w:name="_Toc2932_WPSOffice_Level2"/>
      <w:r>
        <w:rPr>
          <w:rFonts w:ascii="Times New Roman" w:hAnsi="Times New Roman" w:cs="Times New Roman"/>
        </w:rPr>
        <w:t>（三）评审小组成员名单</w:t>
      </w:r>
      <w:bookmarkEnd w:id="77"/>
      <w:bookmarkEnd w:id="78"/>
      <w:bookmarkEnd w:id="79"/>
    </w:p>
    <w:p>
      <w:pPr>
        <w:spacing w:line="440" w:lineRule="exact"/>
        <w:ind w:firstLine="420"/>
        <w:rPr>
          <w:rFonts w:ascii="Times New Roman" w:hAnsi="Times New Roman" w:cs="Times New Roman"/>
        </w:rPr>
      </w:pPr>
      <w:bookmarkStart w:id="80" w:name="_Toc32316_WPSOffice_Level2"/>
      <w:bookmarkStart w:id="81" w:name="_Toc14207_WPSOffice_Level2"/>
      <w:bookmarkStart w:id="82" w:name="_Toc14464_WPSOffice_Level2"/>
      <w:r>
        <w:rPr>
          <w:rFonts w:ascii="Times New Roman" w:hAnsi="Times New Roman" w:cs="Times New Roman"/>
        </w:rPr>
        <w:t>（四）询比评审工作</w:t>
      </w:r>
      <w:bookmarkEnd w:id="80"/>
      <w:bookmarkEnd w:id="81"/>
      <w:bookmarkEnd w:id="82"/>
    </w:p>
    <w:p>
      <w:pPr>
        <w:spacing w:line="440" w:lineRule="exact"/>
        <w:ind w:firstLine="420"/>
        <w:rPr>
          <w:rFonts w:ascii="Times New Roman" w:hAnsi="Times New Roman" w:cs="Times New Roman"/>
        </w:rPr>
      </w:pPr>
      <w:r>
        <w:rPr>
          <w:rFonts w:ascii="Times New Roman" w:hAnsi="Times New Roman" w:cs="Times New Roman"/>
        </w:rPr>
        <w:t>1、评审办法</w:t>
      </w:r>
    </w:p>
    <w:p>
      <w:pPr>
        <w:spacing w:line="440" w:lineRule="exact"/>
        <w:ind w:firstLine="420"/>
        <w:rPr>
          <w:rFonts w:ascii="Times New Roman" w:hAnsi="Times New Roman" w:cs="Times New Roman"/>
        </w:rPr>
      </w:pPr>
      <w:r>
        <w:rPr>
          <w:rFonts w:ascii="Times New Roman" w:hAnsi="Times New Roman" w:cs="Times New Roman"/>
        </w:rPr>
        <w:t>2、初步评审情况（资格审查、形式性审查、响应性审查）</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详细</w:t>
      </w:r>
      <w:r>
        <w:rPr>
          <w:rFonts w:ascii="Times New Roman" w:hAnsi="Times New Roman" w:cs="Times New Roman"/>
        </w:rPr>
        <w:t>评审情况</w:t>
      </w:r>
      <w:r>
        <w:rPr>
          <w:rFonts w:hint="eastAsia" w:ascii="Times New Roman" w:hAnsi="Times New Roman" w:cs="Times New Roman"/>
        </w:rPr>
        <w:t>（供应商的评审价评审情况）</w:t>
      </w:r>
    </w:p>
    <w:p>
      <w:pPr>
        <w:spacing w:line="440" w:lineRule="exact"/>
        <w:ind w:firstLine="420"/>
        <w:rPr>
          <w:rFonts w:ascii="Times New Roman" w:hAnsi="Times New Roman" w:cs="Times New Roman"/>
        </w:rPr>
      </w:pPr>
      <w:r>
        <w:rPr>
          <w:rFonts w:ascii="Times New Roman" w:hAnsi="Times New Roman" w:cs="Times New Roman"/>
        </w:rPr>
        <w:t>4、否决的供应商名单以及否决理由（如有）</w:t>
      </w:r>
    </w:p>
    <w:p>
      <w:pPr>
        <w:spacing w:line="440" w:lineRule="exact"/>
        <w:ind w:firstLine="420"/>
        <w:rPr>
          <w:rFonts w:ascii="Times New Roman" w:hAnsi="Times New Roman" w:cs="Times New Roman"/>
        </w:rPr>
      </w:pPr>
      <w:r>
        <w:rPr>
          <w:rFonts w:ascii="Times New Roman" w:hAnsi="Times New Roman" w:cs="Times New Roman"/>
        </w:rPr>
        <w:t>5、推荐候选供应商排序</w:t>
      </w:r>
    </w:p>
    <w:p>
      <w:pPr>
        <w:spacing w:line="440" w:lineRule="exact"/>
        <w:ind w:firstLine="420"/>
        <w:rPr>
          <w:rFonts w:ascii="Times New Roman" w:hAnsi="Times New Roman" w:cs="Times New Roman"/>
        </w:rPr>
      </w:pPr>
      <w:bookmarkStart w:id="83" w:name="_Toc3913_WPSOffice_Level2"/>
      <w:bookmarkStart w:id="84" w:name="_Toc5114_WPSOffice_Level2"/>
      <w:bookmarkStart w:id="85" w:name="_Toc13397_WPSOffice_Level2"/>
      <w:r>
        <w:rPr>
          <w:rFonts w:ascii="Times New Roman" w:hAnsi="Times New Roman" w:cs="Times New Roman"/>
        </w:rPr>
        <w:t>（五）需要说明的其他事项</w:t>
      </w:r>
      <w:bookmarkEnd w:id="83"/>
      <w:bookmarkEnd w:id="84"/>
      <w:bookmarkEnd w:id="85"/>
    </w:p>
    <w:p>
      <w:pPr>
        <w:spacing w:line="440" w:lineRule="exact"/>
        <w:ind w:firstLine="420"/>
        <w:rPr>
          <w:rFonts w:ascii="Times New Roman" w:hAnsi="Times New Roman" w:cs="Times New Roman"/>
        </w:rPr>
      </w:pPr>
      <w:bookmarkStart w:id="86" w:name="_Toc3031_WPSOffice_Level2"/>
      <w:bookmarkStart w:id="87" w:name="_Toc8934_WPSOffice_Level2"/>
      <w:bookmarkStart w:id="88" w:name="_Toc23800_WPSOffice_Level2"/>
      <w:r>
        <w:rPr>
          <w:rFonts w:ascii="Times New Roman" w:hAnsi="Times New Roman" w:cs="Times New Roman"/>
        </w:rPr>
        <w:t>（六）评审附表</w:t>
      </w:r>
      <w:bookmarkEnd w:id="86"/>
      <w:bookmarkEnd w:id="87"/>
      <w:bookmarkEnd w:id="88"/>
    </w:p>
    <w:p>
      <w:pPr>
        <w:spacing w:line="440" w:lineRule="exact"/>
        <w:ind w:firstLine="420"/>
        <w:rPr>
          <w:rFonts w:ascii="Times New Roman" w:hAnsi="Times New Roman" w:cs="Times New Roman"/>
        </w:rPr>
      </w:pPr>
      <w:r>
        <w:rPr>
          <w:rFonts w:ascii="Times New Roman" w:hAnsi="Times New Roman" w:cs="Times New Roman"/>
        </w:rPr>
        <w:t>1、响应文件</w:t>
      </w:r>
      <w:r>
        <w:rPr>
          <w:rFonts w:hint="eastAsia" w:ascii="Times New Roman" w:hAnsi="Times New Roman" w:cs="Times New Roman"/>
        </w:rPr>
        <w:t>签到</w:t>
      </w:r>
      <w:r>
        <w:rPr>
          <w:rFonts w:ascii="Times New Roman" w:hAnsi="Times New Roman" w:cs="Times New Roman"/>
        </w:rPr>
        <w:t>表</w:t>
      </w:r>
    </w:p>
    <w:p>
      <w:pPr>
        <w:spacing w:line="440" w:lineRule="exact"/>
        <w:ind w:firstLine="420"/>
        <w:rPr>
          <w:rFonts w:ascii="Times New Roman" w:hAnsi="Times New Roman" w:cs="Times New Roman"/>
        </w:rPr>
      </w:pPr>
      <w:r>
        <w:rPr>
          <w:rFonts w:ascii="Times New Roman" w:hAnsi="Times New Roman" w:cs="Times New Roman"/>
        </w:rPr>
        <w:t>2、评审表格</w:t>
      </w:r>
    </w:p>
    <w:p>
      <w:pPr>
        <w:rPr>
          <w:rFonts w:ascii="Times New Roman" w:hAnsi="Times New Roman" w:cs="Times New Roman"/>
        </w:rPr>
      </w:pPr>
      <w:r>
        <w:rPr>
          <w:rFonts w:ascii="Times New Roman" w:hAnsi="Times New Roman" w:cs="Times New Roman"/>
        </w:rPr>
        <w:br w:type="page"/>
      </w:r>
    </w:p>
    <w:p>
      <w:pPr>
        <w:pStyle w:val="2"/>
        <w:numPr>
          <w:ilvl w:val="0"/>
          <w:numId w:val="3"/>
        </w:numPr>
        <w:spacing w:before="312" w:after="312"/>
        <w:rPr>
          <w:rFonts w:ascii="Times New Roman" w:hAnsi="Times New Roman" w:eastAsia="宋体" w:cs="Times New Roman"/>
        </w:rPr>
      </w:pPr>
      <w:bookmarkStart w:id="89" w:name="_Toc10990_WPSOffice_Level1"/>
      <w:r>
        <w:rPr>
          <w:rFonts w:ascii="Times New Roman" w:hAnsi="Times New Roman" w:eastAsia="宋体" w:cs="Times New Roman"/>
        </w:rPr>
        <w:t>合同内容</w:t>
      </w:r>
      <w:bookmarkEnd w:id="89"/>
    </w:p>
    <w:p>
      <w:pPr>
        <w:ind w:firstLine="3200" w:firstLineChars="1000"/>
        <w:rPr>
          <w:rFonts w:ascii="Times New Roman" w:hAnsi="Times New Roman" w:eastAsia="黑体" w:cs="Times New Roman"/>
          <w:sz w:val="32"/>
          <w:szCs w:val="32"/>
        </w:rPr>
      </w:pPr>
      <w:bookmarkStart w:id="90" w:name="_Toc501460622"/>
      <w:bookmarkStart w:id="91" w:name="_Toc21707_WPSOffice_Level1"/>
      <w:r>
        <w:rPr>
          <w:rFonts w:hint="eastAsia" w:ascii="Times New Roman" w:hAnsi="Times New Roman" w:eastAsia="黑体" w:cs="Times New Roman"/>
          <w:sz w:val="32"/>
          <w:szCs w:val="32"/>
        </w:rPr>
        <w:t>设备采购</w:t>
      </w:r>
      <w:r>
        <w:rPr>
          <w:rFonts w:ascii="Times New Roman" w:hAnsi="Times New Roman" w:eastAsia="黑体" w:cs="Times New Roman"/>
          <w:sz w:val="32"/>
          <w:szCs w:val="32"/>
        </w:rPr>
        <w:t>合同</w:t>
      </w:r>
    </w:p>
    <w:p>
      <w:pPr>
        <w:ind w:firstLine="7200" w:firstLineChars="3000"/>
        <w:rPr>
          <w:rFonts w:ascii="Times New Roman" w:hAnsi="Times New Roman" w:cs="Times New Roman"/>
          <w:sz w:val="24"/>
        </w:rPr>
      </w:pPr>
      <w:r>
        <w:rPr>
          <w:rFonts w:hint="eastAsia" w:ascii="Times New Roman" w:hAnsi="Times New Roman" w:cs="Times New Roman"/>
          <w:sz w:val="24"/>
        </w:rPr>
        <w:t>合同号：</w:t>
      </w:r>
    </w:p>
    <w:p>
      <w:pPr>
        <w:spacing w:line="360" w:lineRule="auto"/>
        <w:rPr>
          <w:rFonts w:ascii="Times New Roman" w:hAnsi="Times New Roman" w:cs="Times New Roman"/>
          <w:szCs w:val="21"/>
        </w:rPr>
      </w:pPr>
      <w:r>
        <w:rPr>
          <w:rFonts w:ascii="Times New Roman" w:hAnsi="Times New Roman" w:cs="Times New Roman"/>
          <w:szCs w:val="21"/>
        </w:rPr>
        <w:t>甲方：</w:t>
      </w:r>
      <w:r>
        <w:rPr>
          <w:rFonts w:hint="eastAsia" w:ascii="Times New Roman" w:hAnsi="Times New Roman" w:cs="Times New Roman"/>
          <w:szCs w:val="21"/>
        </w:rPr>
        <w:t>安徽交运集团汽车销售有限公司</w:t>
      </w:r>
    </w:p>
    <w:p>
      <w:pPr>
        <w:spacing w:line="360" w:lineRule="auto"/>
        <w:rPr>
          <w:rFonts w:ascii="Times New Roman" w:hAnsi="Times New Roman" w:cs="Times New Roman"/>
          <w:szCs w:val="21"/>
        </w:rPr>
      </w:pPr>
      <w:r>
        <w:rPr>
          <w:rFonts w:ascii="Times New Roman" w:hAnsi="Times New Roman" w:cs="Times New Roman"/>
          <w:szCs w:val="21"/>
        </w:rPr>
        <w:t>乙方：</w:t>
      </w:r>
    </w:p>
    <w:p>
      <w:pPr>
        <w:spacing w:line="360" w:lineRule="auto"/>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根据《中华人民共和国民法典》及相关法律法规的规定，甲乙双方在平等、自愿、公平、协商一致的基础上，</w:t>
      </w:r>
      <w:r>
        <w:rPr>
          <w:rFonts w:hint="eastAsia" w:ascii="Times New Roman" w:hAnsi="Times New Roman" w:cs="Times New Roman"/>
          <w:szCs w:val="21"/>
        </w:rPr>
        <w:t>甲乙双方就</w:t>
      </w:r>
      <w:r>
        <w:rPr>
          <w:rFonts w:ascii="Times New Roman" w:hAnsi="Times New Roman" w:cs="Times New Roman"/>
          <w:szCs w:val="21"/>
        </w:rPr>
        <w:t>提供</w:t>
      </w:r>
      <w:r>
        <w:rPr>
          <w:rFonts w:hint="eastAsia" w:ascii="Times New Roman" w:hAnsi="Times New Roman" w:cs="Times New Roman"/>
          <w:szCs w:val="21"/>
        </w:rPr>
        <w:t>供货服务</w:t>
      </w:r>
      <w:r>
        <w:rPr>
          <w:rFonts w:ascii="Times New Roman" w:hAnsi="Times New Roman" w:cs="Times New Roman"/>
          <w:szCs w:val="21"/>
        </w:rPr>
        <w:t>的有关事宜达成如下协议：</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1.</w:t>
      </w:r>
      <w:r>
        <w:rPr>
          <w:rFonts w:hint="eastAsia" w:ascii="Times New Roman" w:hAnsi="Times New Roman" w:cs="Times New Roman"/>
          <w:b/>
          <w:bCs/>
          <w:szCs w:val="21"/>
        </w:rPr>
        <w:t>货物采购</w:t>
      </w:r>
      <w:r>
        <w:rPr>
          <w:rFonts w:ascii="Times New Roman" w:hAnsi="Times New Roman" w:cs="Times New Roman"/>
          <w:b/>
          <w:bCs/>
          <w:szCs w:val="21"/>
        </w:rPr>
        <w:t>内容</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甲方</w:t>
      </w:r>
      <w:r>
        <w:rPr>
          <w:rFonts w:hint="eastAsia" w:ascii="Times New Roman" w:hAnsi="Times New Roman" w:cs="Times New Roman"/>
          <w:szCs w:val="21"/>
        </w:rPr>
        <w:t>要求</w:t>
      </w:r>
      <w:r>
        <w:rPr>
          <w:rFonts w:ascii="Times New Roman" w:hAnsi="Times New Roman" w:cs="Times New Roman"/>
          <w:szCs w:val="21"/>
        </w:rPr>
        <w:t>乙方提供</w:t>
      </w:r>
      <w:bookmarkEnd w:id="90"/>
      <w:r>
        <w:rPr>
          <w:rFonts w:hint="eastAsia" w:ascii="Times New Roman" w:hAnsi="Times New Roman" w:cs="Times New Roman"/>
          <w:szCs w:val="21"/>
        </w:rPr>
        <w:t>的货物类别、品牌型号、数量和价格如下表</w:t>
      </w:r>
      <w:r>
        <w:rPr>
          <w:rFonts w:ascii="Times New Roman" w:hAnsi="Times New Roman" w:cs="Times New Roman"/>
          <w:szCs w:val="21"/>
        </w:rPr>
        <w:t>。</w:t>
      </w:r>
    </w:p>
    <w:tbl>
      <w:tblPr>
        <w:tblStyle w:val="1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序号</w:t>
            </w:r>
          </w:p>
        </w:tc>
        <w:tc>
          <w:tcPr>
            <w:tcW w:w="203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货物名称</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颜色</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数量</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单价（元）</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1</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2</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3</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4</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0" w:type="dxa"/>
            <w:gridSpan w:val="5"/>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 xml:space="preserve">                         不含税价： 元       增值税：   元</w:t>
            </w:r>
          </w:p>
        </w:tc>
        <w:tc>
          <w:tcPr>
            <w:tcW w:w="1420" w:type="dxa"/>
            <w:vAlign w:val="center"/>
          </w:tcPr>
          <w:p>
            <w:pPr>
              <w:spacing w:line="360" w:lineRule="auto"/>
              <w:jc w:val="center"/>
              <w:rPr>
                <w:rFonts w:ascii="Times New Roman" w:hAnsi="Times New Roman" w:cs="Times New Roman"/>
                <w:szCs w:val="21"/>
              </w:rPr>
            </w:pPr>
          </w:p>
        </w:tc>
      </w:tr>
    </w:tbl>
    <w:p>
      <w:pPr>
        <w:spacing w:line="440" w:lineRule="exact"/>
        <w:ind w:firstLine="420"/>
        <w:rPr>
          <w:rFonts w:ascii="宋体" w:hAnsi="宋体" w:eastAsia="宋体" w:cs="宋体"/>
          <w:szCs w:val="21"/>
        </w:rPr>
      </w:pPr>
      <w:r>
        <w:rPr>
          <w:rFonts w:hint="eastAsia" w:ascii="宋体" w:hAnsi="宋体" w:eastAsia="宋体" w:cs="宋体"/>
          <w:szCs w:val="21"/>
        </w:rPr>
        <w:t>1.2上述费用包括了为实施和完成合同所需的设计费、制造费、材料费、利润、税费、验收、取证、培训、技术服务、损耗费、检测费、验收费、安装调试费、等达到使用条件及质保期维护维修的一切费用，以及合同约定的所有责任、义务和一般风险。乙方届时应派出现场服务人员完成车辆的上牌工作。</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2.</w:t>
      </w:r>
      <w:r>
        <w:rPr>
          <w:rFonts w:ascii="Times New Roman" w:hAnsi="Times New Roman" w:cs="Times New Roman"/>
          <w:b/>
          <w:szCs w:val="21"/>
        </w:rPr>
        <w:t>质量要求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乙方应保证所供货物的技术指标符合国家有关标准及</w:t>
      </w:r>
      <w:r>
        <w:rPr>
          <w:rFonts w:hint="eastAsia" w:ascii="Times New Roman" w:hAnsi="Times New Roman" w:cs="Times New Roman"/>
          <w:szCs w:val="21"/>
        </w:rPr>
        <w:t>甲方</w:t>
      </w:r>
      <w:r>
        <w:rPr>
          <w:rFonts w:ascii="Times New Roman" w:hAnsi="Times New Roman" w:cs="Times New Roman"/>
          <w:szCs w:val="21"/>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szCs w:val="21"/>
        </w:rPr>
        <w:t>甲方</w:t>
      </w:r>
      <w:r>
        <w:rPr>
          <w:rFonts w:ascii="Times New Roman" w:hAnsi="Times New Roman" w:cs="Times New Roman"/>
          <w:szCs w:val="21"/>
        </w:rPr>
        <w:t>承担三包责任</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3.</w:t>
      </w:r>
      <w:r>
        <w:rPr>
          <w:rFonts w:ascii="Times New Roman" w:hAnsi="Times New Roman" w:cs="Times New Roman"/>
          <w:b/>
          <w:szCs w:val="21"/>
        </w:rPr>
        <w:t>保修期限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乙方所供货物的保修期限</w:t>
      </w:r>
      <w:r>
        <w:rPr>
          <w:rFonts w:hint="eastAsia" w:ascii="Times New Roman" w:hAnsi="Times New Roman" w:cs="Times New Roman"/>
          <w:szCs w:val="21"/>
        </w:rPr>
        <w:t>为：</w:t>
      </w:r>
      <w:r>
        <w:rPr>
          <w:rFonts w:hint="eastAsia" w:ascii="Times New Roman" w:hAnsi="Times New Roman" w:cs="Times New Roman"/>
          <w:szCs w:val="21"/>
          <w:u w:val="single"/>
        </w:rPr>
        <w:t xml:space="preserve">    年（</w:t>
      </w:r>
      <w:r>
        <w:rPr>
          <w:rFonts w:hint="eastAsia"/>
          <w:u w:val="single"/>
        </w:rPr>
        <w:t>自甲方验收合格货物之日起计算</w:t>
      </w:r>
      <w:r>
        <w:rPr>
          <w:rFonts w:hint="eastAsia" w:ascii="Times New Roman" w:hAnsi="Times New Roman" w:cs="Times New Roman"/>
          <w:szCs w:val="21"/>
          <w:u w:val="single"/>
        </w:rPr>
        <w:t xml:space="preserve">） </w:t>
      </w:r>
      <w:r>
        <w:rPr>
          <w:rFonts w:ascii="Times New Roman" w:hAnsi="Times New Roman" w:cs="Times New Roman"/>
          <w:szCs w:val="21"/>
          <w:u w:val="single"/>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4.交货地点：</w:t>
      </w:r>
      <w:r>
        <w:rPr>
          <w:rFonts w:hint="eastAsia" w:ascii="Times New Roman" w:hAnsi="Times New Roman" w:cs="Times New Roman"/>
          <w:szCs w:val="21"/>
          <w:u w:val="single"/>
        </w:rPr>
        <w:t>甲方指定</w:t>
      </w:r>
      <w:r>
        <w:rPr>
          <w:rFonts w:ascii="Times New Roman" w:hAnsi="Times New Roman" w:cs="Times New Roman"/>
          <w:szCs w:val="21"/>
        </w:rPr>
        <w:t>。</w:t>
      </w:r>
    </w:p>
    <w:p>
      <w:pPr>
        <w:spacing w:line="360" w:lineRule="auto"/>
        <w:ind w:firstLine="422" w:firstLineChars="200"/>
        <w:rPr>
          <w:rFonts w:ascii="Times New Roman" w:hAnsi="Times New Roman" w:eastAsia="宋体" w:cs="Times New Roman"/>
          <w:b/>
          <w:bCs/>
          <w:szCs w:val="21"/>
        </w:rPr>
      </w:pPr>
      <w:r>
        <w:rPr>
          <w:rFonts w:hint="eastAsia" w:ascii="Times New Roman" w:hAnsi="Times New Roman" w:cs="Times New Roman"/>
          <w:b/>
          <w:bCs/>
          <w:szCs w:val="21"/>
        </w:rPr>
        <w:t>5</w:t>
      </w:r>
      <w:r>
        <w:rPr>
          <w:rFonts w:ascii="Times New Roman" w:hAnsi="Times New Roman" w:cs="Times New Roman"/>
          <w:b/>
          <w:bCs/>
          <w:szCs w:val="21"/>
        </w:rPr>
        <w:t>.</w:t>
      </w:r>
      <w:r>
        <w:rPr>
          <w:rFonts w:hint="eastAsia" w:ascii="Times New Roman" w:hAnsi="Times New Roman" w:cs="Times New Roman"/>
          <w:b/>
          <w:bCs/>
          <w:szCs w:val="21"/>
        </w:rPr>
        <w:t>供货期限</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本项目供货期限为</w:t>
      </w:r>
      <w:r>
        <w:rPr>
          <w:rFonts w:ascii="Times New Roman" w:hAnsi="Times New Roman" w:cs="Times New Roman"/>
          <w:szCs w:val="21"/>
        </w:rPr>
        <w:t>：；</w:t>
      </w:r>
      <w:r>
        <w:rPr>
          <w:rFonts w:hint="eastAsia" w:ascii="Times New Roman" w:hAnsi="Times New Roman" w:cs="Times New Roman"/>
          <w:szCs w:val="21"/>
        </w:rPr>
        <w:t>自年月日起至年月日止。</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6.付款方式</w:t>
      </w:r>
    </w:p>
    <w:p>
      <w:pPr>
        <w:widowControl/>
        <w:adjustRightInd w:val="0"/>
        <w:snapToGrid w:val="0"/>
        <w:spacing w:line="400" w:lineRule="atLeast"/>
        <w:ind w:firstLine="420" w:firstLineChars="200"/>
        <w:jc w:val="left"/>
        <w:rPr>
          <w:rFonts w:ascii="宋体" w:hAnsi="宋体" w:cs="宋体"/>
          <w:kern w:val="0"/>
          <w:szCs w:val="21"/>
          <w:highlight w:val="green"/>
        </w:rPr>
      </w:pPr>
      <w:r>
        <w:rPr>
          <w:rFonts w:hint="eastAsia" w:asciiTheme="minorEastAsia" w:hAnsiTheme="minorEastAsia" w:cstheme="minorEastAsia"/>
          <w:color w:val="333333"/>
          <w:kern w:val="0"/>
          <w:szCs w:val="21"/>
          <w:highlight w:val="green"/>
        </w:rPr>
        <w:t>6.1所购车辆送到询价单位指定交付地点经验收合格并开具机动车销售增值税专用发票，</w:t>
      </w:r>
      <w:r>
        <w:rPr>
          <w:rFonts w:hint="eastAsia" w:asciiTheme="minorEastAsia" w:hAnsiTheme="minorEastAsia" w:cstheme="minorEastAsia"/>
          <w:szCs w:val="21"/>
          <w:highlight w:val="green"/>
        </w:rPr>
        <w:t>车辆交接验收完成后30个工作日内，一次性付清。</w:t>
      </w:r>
    </w:p>
    <w:p>
      <w:pPr>
        <w:pStyle w:val="5"/>
      </w:pPr>
    </w:p>
    <w:p>
      <w:pPr>
        <w:pStyle w:val="6"/>
        <w:rPr>
          <w:rFonts w:asciiTheme="minorEastAsia" w:hAnsiTheme="minorEastAsia" w:cstheme="minorEastAsia"/>
          <w:szCs w:val="21"/>
        </w:rPr>
      </w:pPr>
      <w:r>
        <w:rPr>
          <w:rFonts w:hint="eastAsia" w:asciiTheme="minorEastAsia" w:hAnsiTheme="minorEastAsia" w:cstheme="minorEastAsia"/>
          <w:szCs w:val="21"/>
        </w:rPr>
        <w:t>6.2 收款账户</w:t>
      </w:r>
    </w:p>
    <w:p>
      <w:pPr>
        <w:pStyle w:val="7"/>
        <w:rPr>
          <w:rFonts w:asciiTheme="minorEastAsia" w:hAnsiTheme="minorEastAsia" w:cstheme="minorEastAsia"/>
          <w:szCs w:val="21"/>
        </w:rPr>
      </w:pPr>
      <w:r>
        <w:rPr>
          <w:rFonts w:hint="eastAsia" w:asciiTheme="minorEastAsia" w:hAnsiTheme="minorEastAsia" w:cstheme="minorEastAsia"/>
          <w:szCs w:val="21"/>
        </w:rPr>
        <w:t>账户名：</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账号：</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开户行：</w:t>
      </w:r>
    </w:p>
    <w:p>
      <w:pPr>
        <w:pStyle w:val="7"/>
        <w:rPr>
          <w:rFonts w:asciiTheme="minorEastAsia" w:hAnsiTheme="minorEastAsia" w:cstheme="minorEastAsia"/>
          <w:szCs w:val="21"/>
        </w:rPr>
      </w:pP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7.</w:t>
      </w:r>
      <w:r>
        <w:rPr>
          <w:rFonts w:ascii="Times New Roman" w:hAnsi="Times New Roman" w:cs="Times New Roman"/>
          <w:b/>
          <w:szCs w:val="21"/>
        </w:rPr>
        <w:t>权利瑕疵担保</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rPr>
        <w:t>7.1乙方</w:t>
      </w:r>
      <w:r>
        <w:rPr>
          <w:rFonts w:ascii="Times New Roman" w:hAnsi="Times New Roman" w:cs="Times New Roman"/>
          <w:szCs w:val="21"/>
        </w:rPr>
        <w:t>保证对其出售的货物享有合法的权利</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7.2乙方</w:t>
      </w:r>
      <w:r>
        <w:rPr>
          <w:rFonts w:ascii="Times New Roman" w:hAnsi="Times New Roman" w:cs="Times New Roman"/>
          <w:szCs w:val="21"/>
        </w:rPr>
        <w:t>保证在其出售的货物上不存在任何未曾向对方透露的担保物权，如抵押权</w:t>
      </w:r>
      <w:r>
        <w:rPr>
          <w:rFonts w:hint="eastAsia" w:ascii="Times New Roman" w:hAnsi="Times New Roman" w:cs="Times New Roman"/>
          <w:szCs w:val="21"/>
        </w:rPr>
        <w:t>、</w:t>
      </w:r>
      <w:r>
        <w:rPr>
          <w:rFonts w:ascii="Times New Roman" w:hAnsi="Times New Roman" w:cs="Times New Roman"/>
          <w:szCs w:val="21"/>
        </w:rPr>
        <w:t>质押权</w:t>
      </w:r>
      <w:r>
        <w:rPr>
          <w:rFonts w:hint="eastAsia" w:ascii="Times New Roman" w:hAnsi="Times New Roman" w:cs="Times New Roman"/>
          <w:szCs w:val="21"/>
        </w:rPr>
        <w:t>、</w:t>
      </w:r>
      <w:r>
        <w:rPr>
          <w:rFonts w:ascii="Times New Roman" w:hAnsi="Times New Roman" w:cs="Times New Roman"/>
          <w:szCs w:val="21"/>
        </w:rPr>
        <w:t>留置权等。</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7.3乙方</w:t>
      </w:r>
      <w:r>
        <w:rPr>
          <w:rFonts w:ascii="Times New Roman" w:hAnsi="Times New Roman" w:cs="Times New Roman"/>
          <w:szCs w:val="21"/>
        </w:rPr>
        <w:t>保证其所出售的货物没有侵犯任何第三人的知识产权和商业秘密等权利。</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7.4</w:t>
      </w:r>
      <w:r>
        <w:rPr>
          <w:rFonts w:ascii="Times New Roman" w:hAnsi="Times New Roman" w:cs="Times New Roman"/>
          <w:szCs w:val="21"/>
        </w:rPr>
        <w:t>如</w:t>
      </w:r>
      <w:r>
        <w:rPr>
          <w:rFonts w:hint="eastAsia" w:ascii="Times New Roman" w:hAnsi="Times New Roman" w:cs="Times New Roman"/>
          <w:szCs w:val="21"/>
        </w:rPr>
        <w:t>甲方</w:t>
      </w:r>
      <w:r>
        <w:rPr>
          <w:rFonts w:ascii="Times New Roman" w:hAnsi="Times New Roman" w:cs="Times New Roman"/>
          <w:szCs w:val="21"/>
        </w:rPr>
        <w:t>使用该货物构成上述侵权的，则</w:t>
      </w:r>
      <w:r>
        <w:rPr>
          <w:rFonts w:hint="eastAsia" w:ascii="Times New Roman" w:hAnsi="Times New Roman" w:cs="Times New Roman"/>
          <w:szCs w:val="21"/>
        </w:rPr>
        <w:t>由乙方</w:t>
      </w:r>
      <w:r>
        <w:rPr>
          <w:rFonts w:ascii="Times New Roman" w:hAnsi="Times New Roman" w:cs="Times New Roman"/>
          <w:szCs w:val="21"/>
        </w:rPr>
        <w:t>承担全部责任。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7.5如货物需要</w:t>
      </w:r>
      <w:r>
        <w:rPr>
          <w:rFonts w:ascii="Times New Roman" w:hAnsi="Times New Roman" w:cs="Times New Roman"/>
          <w:szCs w:val="21"/>
        </w:rPr>
        <w:t>乙方负责安装</w:t>
      </w:r>
      <w:r>
        <w:rPr>
          <w:rFonts w:hint="eastAsia" w:ascii="Times New Roman" w:hAnsi="Times New Roman" w:cs="Times New Roman"/>
          <w:szCs w:val="21"/>
        </w:rPr>
        <w:t>的</w:t>
      </w:r>
      <w:r>
        <w:rPr>
          <w:rFonts w:ascii="Times New Roman" w:hAnsi="Times New Roman" w:cs="Times New Roman"/>
          <w:szCs w:val="21"/>
        </w:rPr>
        <w:t>，</w:t>
      </w:r>
      <w:r>
        <w:rPr>
          <w:rFonts w:hint="eastAsia" w:ascii="Times New Roman" w:hAnsi="Times New Roman" w:cs="Times New Roman"/>
          <w:szCs w:val="21"/>
        </w:rPr>
        <w:t>乙方</w:t>
      </w:r>
      <w:r>
        <w:rPr>
          <w:rFonts w:ascii="Times New Roman" w:hAnsi="Times New Roman" w:cs="Times New Roman"/>
          <w:szCs w:val="21"/>
        </w:rPr>
        <w:t>承担验收合格前发生的安全责任。</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8.</w:t>
      </w:r>
      <w:r>
        <w:rPr>
          <w:rFonts w:ascii="Times New Roman" w:hAnsi="Times New Roman" w:cs="Times New Roman"/>
          <w:b/>
          <w:szCs w:val="21"/>
        </w:rPr>
        <w:t>包装规定</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8.1</w:t>
      </w:r>
      <w:r>
        <w:rPr>
          <w:rFonts w:ascii="Times New Roman" w:hAnsi="Times New Roman" w:cs="Times New Roman"/>
          <w:szCs w:val="21"/>
        </w:rPr>
        <w:t>包装要求及费用负担：</w:t>
      </w:r>
      <w:r>
        <w:rPr>
          <w:rFonts w:hint="eastAsia" w:ascii="Times New Roman" w:hAnsi="Times New Roman" w:cs="Times New Roman"/>
          <w:szCs w:val="21"/>
        </w:rPr>
        <w:t>乙方</w:t>
      </w:r>
      <w:r>
        <w:rPr>
          <w:rFonts w:ascii="Times New Roman" w:hAnsi="Times New Roman" w:cs="Times New Roman"/>
          <w:szCs w:val="21"/>
        </w:rPr>
        <w:t>所售的全部货物均应按标准保护措施进行包装，这类包装应适应于远距离运输</w:t>
      </w:r>
      <w:r>
        <w:rPr>
          <w:rFonts w:hint="eastAsia" w:ascii="Times New Roman" w:hAnsi="Times New Roman" w:cs="Times New Roman"/>
          <w:szCs w:val="21"/>
        </w:rPr>
        <w:t>，</w:t>
      </w:r>
      <w:r>
        <w:rPr>
          <w:rFonts w:ascii="Times New Roman" w:hAnsi="Times New Roman" w:cs="Times New Roman"/>
          <w:szCs w:val="21"/>
        </w:rPr>
        <w:t>防潮，防震，防锈和防野蛮装卸等要求，以确保货物安全无损地运抵</w:t>
      </w:r>
      <w:r>
        <w:rPr>
          <w:rFonts w:hint="eastAsia" w:ascii="Times New Roman" w:hAnsi="Times New Roman" w:cs="Times New Roman"/>
          <w:szCs w:val="21"/>
        </w:rPr>
        <w:t>甲方</w:t>
      </w:r>
      <w:r>
        <w:rPr>
          <w:rFonts w:ascii="Times New Roman" w:hAnsi="Times New Roman" w:cs="Times New Roman"/>
          <w:szCs w:val="21"/>
        </w:rPr>
        <w:t>指定</w:t>
      </w:r>
      <w:r>
        <w:rPr>
          <w:rFonts w:hint="eastAsia" w:ascii="Times New Roman" w:hAnsi="Times New Roman" w:cs="Times New Roman"/>
          <w:szCs w:val="21"/>
        </w:rPr>
        <w:t>地点</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8.2</w:t>
      </w:r>
      <w:r>
        <w:rPr>
          <w:rFonts w:ascii="Times New Roman" w:hAnsi="Times New Roman" w:cs="Times New Roman"/>
          <w:szCs w:val="21"/>
        </w:rPr>
        <w:t>每一个包装箱内应附有出标准配置的有关技术，质量，三包等资料。</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9.</w:t>
      </w:r>
      <w:r>
        <w:rPr>
          <w:rFonts w:ascii="Times New Roman" w:hAnsi="Times New Roman" w:cs="Times New Roman"/>
          <w:b/>
          <w:szCs w:val="21"/>
        </w:rPr>
        <w:t>验收及安装</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9.1</w:t>
      </w:r>
      <w:r>
        <w:rPr>
          <w:rFonts w:ascii="Times New Roman" w:hAnsi="Times New Roman" w:cs="Times New Roman"/>
          <w:szCs w:val="21"/>
        </w:rPr>
        <w:t>由甲方根据货物的技术规格要求和质量标准，对货物进行检查验收。</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9.2</w:t>
      </w:r>
      <w:r>
        <w:rPr>
          <w:rFonts w:ascii="Times New Roman" w:hAnsi="Times New Roman" w:cs="Times New Roman"/>
          <w:szCs w:val="21"/>
        </w:rPr>
        <w:t>如检验不满足</w:t>
      </w:r>
      <w:r>
        <w:rPr>
          <w:rFonts w:hint="eastAsia" w:ascii="Times New Roman" w:hAnsi="Times New Roman" w:cs="Times New Roman"/>
          <w:szCs w:val="21"/>
        </w:rPr>
        <w:t>采购</w:t>
      </w:r>
      <w:r>
        <w:rPr>
          <w:rFonts w:ascii="Times New Roman" w:hAnsi="Times New Roman" w:cs="Times New Roman"/>
          <w:szCs w:val="21"/>
        </w:rPr>
        <w:t>文件要求</w:t>
      </w:r>
      <w:r>
        <w:rPr>
          <w:rFonts w:hint="eastAsia" w:ascii="Times New Roman" w:hAnsi="Times New Roman" w:cs="Times New Roman"/>
          <w:szCs w:val="21"/>
        </w:rPr>
        <w:t>或</w:t>
      </w:r>
      <w:r>
        <w:rPr>
          <w:rFonts w:ascii="Times New Roman" w:hAnsi="Times New Roman" w:cs="Times New Roman"/>
          <w:szCs w:val="21"/>
        </w:rPr>
        <w:t>不能按照国家标准正常使用，由乙方返工。如再次检验不合格，甲方有权取消合同</w:t>
      </w:r>
      <w:r>
        <w:rPr>
          <w:rFonts w:hint="eastAsia" w:ascii="Times New Roman" w:hAnsi="Times New Roman" w:cs="Times New Roman"/>
          <w:szCs w:val="21"/>
        </w:rPr>
        <w:t>，</w:t>
      </w:r>
      <w:r>
        <w:rPr>
          <w:rFonts w:hint="eastAsia"/>
        </w:rPr>
        <w:t>乙方需全额退还货款且承担相应损失。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9.3</w:t>
      </w:r>
      <w:r>
        <w:rPr>
          <w:rFonts w:ascii="Times New Roman" w:hAnsi="Times New Roman" w:cs="Times New Roman"/>
          <w:szCs w:val="21"/>
        </w:rPr>
        <w:t>乙方提供的</w:t>
      </w:r>
      <w:r>
        <w:rPr>
          <w:rFonts w:hint="eastAsia" w:ascii="Times New Roman" w:hAnsi="Times New Roman" w:cs="Times New Roman"/>
          <w:szCs w:val="21"/>
        </w:rPr>
        <w:t>货物</w:t>
      </w:r>
      <w:r>
        <w:rPr>
          <w:rFonts w:ascii="Times New Roman" w:hAnsi="Times New Roman" w:cs="Times New Roman"/>
          <w:szCs w:val="21"/>
        </w:rPr>
        <w:t>，需提供相应的</w:t>
      </w:r>
      <w:r>
        <w:rPr>
          <w:rFonts w:hint="eastAsia" w:ascii="Times New Roman" w:hAnsi="Times New Roman" w:cs="Times New Roman"/>
          <w:szCs w:val="21"/>
        </w:rPr>
        <w:t>货物</w:t>
      </w:r>
      <w:r>
        <w:rPr>
          <w:rFonts w:ascii="Times New Roman" w:hAnsi="Times New Roman" w:cs="Times New Roman"/>
          <w:szCs w:val="21"/>
        </w:rPr>
        <w:t>质量合格证书和说明书。乙方交货必须严格按照合同约定的产品规格、型号要求，否则甲方有权拒收。收货后发现返修率达到</w:t>
      </w:r>
      <w:r>
        <w:rPr>
          <w:rFonts w:hint="eastAsia" w:ascii="Times New Roman" w:hAnsi="Times New Roman" w:cs="Times New Roman"/>
          <w:szCs w:val="21"/>
          <w:u w:val="single"/>
        </w:rPr>
        <w:t xml:space="preserve"> 10 </w:t>
      </w:r>
      <w:r>
        <w:rPr>
          <w:rFonts w:ascii="Times New Roman" w:hAnsi="Times New Roman" w:cs="Times New Roman"/>
          <w:szCs w:val="21"/>
        </w:rPr>
        <w:t>%以上</w:t>
      </w:r>
      <w:r>
        <w:rPr>
          <w:rFonts w:hint="eastAsia" w:ascii="Times New Roman" w:hAnsi="Times New Roman" w:cs="Times New Roman"/>
          <w:szCs w:val="21"/>
        </w:rPr>
        <w:t>的</w:t>
      </w:r>
      <w:r>
        <w:rPr>
          <w:rFonts w:ascii="Times New Roman" w:hAnsi="Times New Roman" w:cs="Times New Roman"/>
          <w:szCs w:val="21"/>
        </w:rPr>
        <w:t>，甲方有权终止合同</w:t>
      </w:r>
      <w:r>
        <w:rPr>
          <w:rFonts w:hint="eastAsia" w:ascii="Times New Roman" w:hAnsi="Times New Roman" w:cs="Times New Roman"/>
          <w:szCs w:val="21"/>
        </w:rPr>
        <w:t>，</w:t>
      </w:r>
      <w:r>
        <w:rPr>
          <w:rFonts w:hint="eastAsia"/>
        </w:rPr>
        <w:t>乙方需全额退还货款且承担相应损失。</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10.</w:t>
      </w:r>
      <w:r>
        <w:rPr>
          <w:rFonts w:ascii="Times New Roman" w:hAnsi="Times New Roman" w:cs="Times New Roman"/>
          <w:b/>
          <w:szCs w:val="21"/>
        </w:rPr>
        <w:t>售后服务</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10.1</w:t>
      </w:r>
      <w:r>
        <w:rPr>
          <w:rFonts w:ascii="Times New Roman" w:hAnsi="Times New Roman" w:cs="Times New Roman"/>
          <w:szCs w:val="21"/>
        </w:rPr>
        <w:t>乙方承诺的售后服务按照</w:t>
      </w:r>
      <w:r>
        <w:rPr>
          <w:rFonts w:hint="eastAsia" w:ascii="Times New Roman" w:hAnsi="Times New Roman" w:cs="Times New Roman"/>
          <w:szCs w:val="21"/>
        </w:rPr>
        <w:t>响应文件</w:t>
      </w:r>
      <w:r>
        <w:rPr>
          <w:rFonts w:ascii="Times New Roman" w:hAnsi="Times New Roman" w:cs="Times New Roman"/>
          <w:szCs w:val="21"/>
        </w:rPr>
        <w:t>的服务承诺方案实施。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10.2货物</w:t>
      </w:r>
      <w:r>
        <w:rPr>
          <w:rFonts w:ascii="Times New Roman" w:hAnsi="Times New Roman" w:cs="Times New Roman"/>
          <w:szCs w:val="21"/>
        </w:rPr>
        <w:t>售后服务质量技术标准：按国家新“三包”规定执行</w:t>
      </w:r>
      <w:r>
        <w:rPr>
          <w:rFonts w:hint="eastAsia" w:ascii="Times New Roman" w:hAnsi="Times New Roman" w:cs="Times New Roman"/>
          <w:szCs w:val="21"/>
        </w:rPr>
        <w:t>，</w:t>
      </w:r>
      <w:r>
        <w:rPr>
          <w:rFonts w:ascii="Times New Roman" w:hAnsi="Times New Roman" w:cs="Times New Roman"/>
          <w:szCs w:val="21"/>
        </w:rPr>
        <w:t>如有质量问题7天内包退，15天内包换。</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10.3货物</w:t>
      </w:r>
      <w:r>
        <w:rPr>
          <w:rFonts w:ascii="Times New Roman" w:hAnsi="Times New Roman" w:cs="Times New Roman"/>
          <w:szCs w:val="21"/>
        </w:rPr>
        <w:t>出现产品故障时，售后响应时间为。</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10.4</w:t>
      </w:r>
      <w:r>
        <w:rPr>
          <w:rFonts w:ascii="Times New Roman" w:hAnsi="Times New Roman" w:cs="Times New Roman"/>
          <w:szCs w:val="21"/>
        </w:rPr>
        <w:t>售后服务由乙方全权负责，成立专门售后服务小组，保证提供完善的售后服务。售后联系人：</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11.</w:t>
      </w:r>
      <w:r>
        <w:rPr>
          <w:rFonts w:ascii="Times New Roman" w:hAnsi="Times New Roman" w:cs="Times New Roman"/>
          <w:b/>
          <w:szCs w:val="21"/>
        </w:rPr>
        <w:t>违约责任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11.1</w:t>
      </w:r>
      <w:r>
        <w:rPr>
          <w:rFonts w:ascii="Times New Roman" w:hAnsi="Times New Roman" w:cs="Times New Roman"/>
          <w:szCs w:val="21"/>
        </w:rPr>
        <w:t>因乙方原因不能按照约定期限交货并完成安装</w:t>
      </w:r>
      <w:r>
        <w:rPr>
          <w:rFonts w:hint="eastAsia" w:ascii="Times New Roman" w:hAnsi="Times New Roman" w:cs="Times New Roman"/>
          <w:szCs w:val="21"/>
        </w:rPr>
        <w:t>（如需）</w:t>
      </w:r>
      <w:r>
        <w:rPr>
          <w:rFonts w:ascii="Times New Roman" w:hAnsi="Times New Roman" w:cs="Times New Roman"/>
          <w:szCs w:val="21"/>
        </w:rPr>
        <w:t>的，应承担违约责任。即每逾期一天须向甲方支付</w:t>
      </w:r>
      <w:r>
        <w:rPr>
          <w:rFonts w:hint="eastAsia" w:ascii="Times New Roman" w:hAnsi="Times New Roman" w:cs="Times New Roman"/>
          <w:szCs w:val="21"/>
        </w:rPr>
        <w:t>逾期货物价款</w:t>
      </w:r>
      <w:r>
        <w:rPr>
          <w:rFonts w:hint="eastAsia" w:ascii="Times New Roman" w:hAnsi="Times New Roman" w:cs="Times New Roman"/>
          <w:szCs w:val="21"/>
          <w:u w:val="single"/>
        </w:rPr>
        <w:t xml:space="preserve">1 </w:t>
      </w:r>
      <w:r>
        <w:rPr>
          <w:rFonts w:ascii="Times New Roman" w:hAnsi="Times New Roman" w:cs="Times New Roman"/>
          <w:szCs w:val="21"/>
        </w:rPr>
        <w:t>%</w:t>
      </w:r>
      <w:r>
        <w:rPr>
          <w:rFonts w:hint="eastAsia" w:ascii="Times New Roman" w:hAnsi="Times New Roman" w:cs="Times New Roman"/>
          <w:szCs w:val="21"/>
        </w:rPr>
        <w:t>的</w:t>
      </w:r>
      <w:r>
        <w:rPr>
          <w:rFonts w:ascii="Times New Roman" w:hAnsi="Times New Roman" w:cs="Times New Roman"/>
          <w:szCs w:val="21"/>
        </w:rPr>
        <w:t>违约金，延期超过</w:t>
      </w:r>
      <w:r>
        <w:rPr>
          <w:rFonts w:hint="eastAsia" w:ascii="Times New Roman" w:hAnsi="Times New Roman" w:cs="Times New Roman"/>
          <w:szCs w:val="21"/>
          <w:u w:val="single"/>
        </w:rPr>
        <w:t xml:space="preserve">10 </w:t>
      </w:r>
      <w:r>
        <w:rPr>
          <w:rFonts w:ascii="Times New Roman" w:hAnsi="Times New Roman" w:cs="Times New Roman"/>
          <w:szCs w:val="21"/>
        </w:rPr>
        <w:t>日的，甲方将解除合同并要求乙方赔偿逾期损失。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11.2</w:t>
      </w:r>
      <w:r>
        <w:rPr>
          <w:rFonts w:ascii="Times New Roman" w:hAnsi="Times New Roman" w:cs="Times New Roman"/>
          <w:szCs w:val="21"/>
        </w:rPr>
        <w:t>乙方</w:t>
      </w:r>
      <w:r>
        <w:rPr>
          <w:rFonts w:hint="eastAsia" w:ascii="Times New Roman" w:hAnsi="Times New Roman" w:cs="Times New Roman"/>
          <w:szCs w:val="21"/>
        </w:rPr>
        <w:t>交付货物</w:t>
      </w:r>
      <w:r>
        <w:rPr>
          <w:rFonts w:ascii="Times New Roman" w:hAnsi="Times New Roman" w:cs="Times New Roman"/>
          <w:szCs w:val="21"/>
        </w:rPr>
        <w:t>不符合相关质量标准的，乙方负责包修包换，其中修理三次仍不能正常使用的，乙方同意按退货处理。乙方保修包换设备及退货退款的，应当在</w:t>
      </w:r>
      <w:r>
        <w:rPr>
          <w:rFonts w:hint="eastAsia" w:ascii="Times New Roman" w:hAnsi="Times New Roman" w:cs="Times New Roman"/>
          <w:szCs w:val="21"/>
          <w:u w:val="single"/>
        </w:rPr>
        <w:t xml:space="preserve">3 </w:t>
      </w:r>
      <w:r>
        <w:rPr>
          <w:rFonts w:ascii="Times New Roman" w:hAnsi="Times New Roman" w:cs="Times New Roman"/>
          <w:szCs w:val="21"/>
        </w:rPr>
        <w:t>日内完成，不能按约定完成的，每天按</w:t>
      </w:r>
      <w:r>
        <w:rPr>
          <w:rFonts w:hint="eastAsia" w:ascii="Times New Roman" w:hAnsi="Times New Roman" w:cs="Times New Roman"/>
          <w:szCs w:val="21"/>
        </w:rPr>
        <w:t>相应货物价款</w:t>
      </w:r>
      <w:r>
        <w:rPr>
          <w:rFonts w:ascii="Times New Roman" w:hAnsi="Times New Roman" w:cs="Times New Roman"/>
          <w:szCs w:val="21"/>
        </w:rPr>
        <w:t>的</w:t>
      </w:r>
      <w:r>
        <w:rPr>
          <w:rFonts w:hint="eastAsia" w:ascii="Times New Roman" w:hAnsi="Times New Roman" w:cs="Times New Roman"/>
          <w:szCs w:val="21"/>
          <w:u w:val="single"/>
        </w:rPr>
        <w:t xml:space="preserve">1 </w:t>
      </w:r>
      <w:r>
        <w:rPr>
          <w:rFonts w:ascii="Times New Roman" w:hAnsi="Times New Roman" w:cs="Times New Roman"/>
          <w:szCs w:val="21"/>
        </w:rPr>
        <w:t>%的标准向甲方支付违约金。</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11.3</w:t>
      </w:r>
      <w:r>
        <w:rPr>
          <w:rFonts w:ascii="Times New Roman" w:hAnsi="Times New Roman" w:cs="Times New Roman"/>
          <w:szCs w:val="21"/>
        </w:rPr>
        <w:t>乙方</w:t>
      </w:r>
      <w:r>
        <w:rPr>
          <w:rFonts w:hint="eastAsia" w:ascii="Times New Roman" w:hAnsi="Times New Roman" w:cs="Times New Roman"/>
          <w:szCs w:val="21"/>
        </w:rPr>
        <w:t>货物运输、</w:t>
      </w:r>
      <w:r>
        <w:rPr>
          <w:rFonts w:ascii="Times New Roman" w:hAnsi="Times New Roman" w:cs="Times New Roman"/>
          <w:szCs w:val="21"/>
        </w:rPr>
        <w:t>安装</w:t>
      </w:r>
      <w:r>
        <w:rPr>
          <w:rFonts w:hint="eastAsia" w:ascii="Times New Roman" w:hAnsi="Times New Roman" w:cs="Times New Roman"/>
          <w:szCs w:val="21"/>
        </w:rPr>
        <w:t>、调试、试运行等过程中</w:t>
      </w:r>
      <w:r>
        <w:rPr>
          <w:rFonts w:ascii="Times New Roman" w:hAnsi="Times New Roman" w:cs="Times New Roman"/>
          <w:szCs w:val="21"/>
        </w:rPr>
        <w:t>对自身或他人造成的任何人身或财产损失，均全部由乙方负责。</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11.4</w:t>
      </w:r>
      <w:r>
        <w:rPr>
          <w:rFonts w:ascii="Times New Roman" w:hAnsi="Times New Roman" w:cs="Times New Roman"/>
          <w:szCs w:val="21"/>
        </w:rPr>
        <w:t>乙方所交付货物侵犯第三方权益的，应承担由此给甲方造成的一切损失，并承担一切后果。</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11.5</w:t>
      </w:r>
      <w:r>
        <w:rPr>
          <w:rFonts w:ascii="Times New Roman" w:hAnsi="Times New Roman" w:cs="Times New Roman"/>
          <w:szCs w:val="21"/>
        </w:rPr>
        <w:t>若发生其他违约情形，违约方应赔偿由此给对方的损失。如属双方过失，应各自承担相应责任。</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cs="Times New Roman"/>
          <w:bCs/>
          <w:szCs w:val="21"/>
        </w:rPr>
        <w:t>11.6</w:t>
      </w:r>
      <w:r>
        <w:rPr>
          <w:rFonts w:ascii="Times New Roman" w:hAnsi="Times New Roman" w:cs="Times New Roman"/>
          <w:szCs w:val="21"/>
        </w:rPr>
        <w:t>乙方</w:t>
      </w:r>
      <w:r>
        <w:rPr>
          <w:rFonts w:ascii="Times New Roman" w:hAnsi="Times New Roman" w:cs="Times New Roman"/>
          <w:bCs/>
          <w:szCs w:val="21"/>
        </w:rPr>
        <w:t>必须保证甲方在使用</w:t>
      </w:r>
      <w:r>
        <w:rPr>
          <w:rFonts w:hint="eastAsia" w:ascii="Times New Roman" w:hAnsi="Times New Roman" w:cs="Times New Roman"/>
          <w:bCs/>
          <w:szCs w:val="21"/>
        </w:rPr>
        <w:t>乙方</w:t>
      </w:r>
      <w:r>
        <w:rPr>
          <w:rFonts w:ascii="Times New Roman" w:hAnsi="Times New Roman" w:cs="Times New Roman"/>
          <w:bCs/>
          <w:szCs w:val="21"/>
        </w:rPr>
        <w:t>提供的货物时</w:t>
      </w:r>
      <w:r>
        <w:rPr>
          <w:rFonts w:hint="eastAsia" w:ascii="Times New Roman" w:hAnsi="Times New Roman" w:cs="Times New Roman"/>
          <w:bCs/>
          <w:szCs w:val="21"/>
        </w:rPr>
        <w:t>，</w:t>
      </w:r>
      <w:r>
        <w:rPr>
          <w:rFonts w:ascii="Times New Roman" w:hAnsi="Times New Roman" w:cs="Times New Roman"/>
          <w:bCs/>
          <w:szCs w:val="21"/>
        </w:rPr>
        <w:t>不存在任何已知的不合法的情形</w:t>
      </w:r>
      <w:r>
        <w:rPr>
          <w:rFonts w:hint="eastAsia" w:ascii="Times New Roman" w:hAnsi="Times New Roman" w:cs="Times New Roman"/>
          <w:bCs/>
          <w:szCs w:val="21"/>
        </w:rPr>
        <w:t>，</w:t>
      </w:r>
      <w:r>
        <w:rPr>
          <w:rFonts w:ascii="Times New Roman" w:hAnsi="Times New Roman" w:cs="Times New Roman"/>
          <w:bCs/>
          <w:szCs w:val="21"/>
        </w:rPr>
        <w:t>也不存在已知的与第三方专利权</w:t>
      </w:r>
      <w:r>
        <w:rPr>
          <w:rFonts w:ascii="Times New Roman" w:hAnsi="Times New Roman" w:cs="Times New Roman"/>
          <w:szCs w:val="21"/>
        </w:rPr>
        <w:t>、著作权、商标权或工业设计权相关的任何争议</w:t>
      </w:r>
      <w:r>
        <w:rPr>
          <w:rFonts w:hint="eastAsia" w:ascii="Times New Roman" w:hAnsi="Times New Roman" w:cs="Times New Roman"/>
          <w:szCs w:val="21"/>
        </w:rPr>
        <w:t>，</w:t>
      </w:r>
      <w:r>
        <w:rPr>
          <w:rFonts w:ascii="Times New Roman" w:hAnsi="Times New Roman" w:cs="Times New Roman"/>
          <w:szCs w:val="21"/>
        </w:rPr>
        <w:t>如果有任何因甲方使用乙方提供的货物而提起的侵权指控</w:t>
      </w:r>
      <w:r>
        <w:rPr>
          <w:rFonts w:hint="eastAsia" w:ascii="Times New Roman" w:hAnsi="Times New Roman" w:cs="Times New Roman"/>
          <w:szCs w:val="21"/>
        </w:rPr>
        <w:t>，</w:t>
      </w:r>
      <w:r>
        <w:rPr>
          <w:rFonts w:ascii="Times New Roman" w:hAnsi="Times New Roman" w:cs="Times New Roman"/>
          <w:szCs w:val="21"/>
        </w:rPr>
        <w:t>乙方依法承担全部责任</w:t>
      </w:r>
      <w:r>
        <w:rPr>
          <w:rFonts w:hint="eastAsia" w:ascii="Times New Roman" w:hAnsi="Times New Roman" w:cs="Times New Roman"/>
          <w:bCs/>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12.</w:t>
      </w:r>
      <w:r>
        <w:rPr>
          <w:rFonts w:ascii="Times New Roman" w:hAnsi="Times New Roman" w:cs="Times New Roman"/>
          <w:b/>
          <w:bCs/>
          <w:szCs w:val="21"/>
        </w:rPr>
        <w:t>合同的</w:t>
      </w:r>
      <w:r>
        <w:rPr>
          <w:rFonts w:hint="eastAsia" w:ascii="Times New Roman" w:hAnsi="Times New Roman" w:cs="Times New Roman"/>
          <w:b/>
          <w:bCs/>
          <w:szCs w:val="21"/>
        </w:rPr>
        <w:t>变更</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12.1</w:t>
      </w:r>
      <w:r>
        <w:rPr>
          <w:rFonts w:ascii="Times New Roman" w:hAnsi="Times New Roman" w:cs="Times New Roman"/>
          <w:szCs w:val="21"/>
        </w:rPr>
        <w:t>在合同履行过程中</w:t>
      </w:r>
      <w:r>
        <w:rPr>
          <w:rFonts w:hint="eastAsia" w:ascii="Times New Roman" w:hAnsi="Times New Roman" w:cs="Times New Roman"/>
          <w:szCs w:val="21"/>
        </w:rPr>
        <w:t>，供货价格不随任何因素发生变化。</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12.2</w:t>
      </w:r>
      <w:r>
        <w:rPr>
          <w:rFonts w:ascii="Times New Roman" w:hAnsi="Times New Roman" w:cs="Times New Roman"/>
          <w:szCs w:val="21"/>
        </w:rPr>
        <w:t>在合同履行过程中</w:t>
      </w:r>
      <w:r>
        <w:rPr>
          <w:rFonts w:hint="eastAsia" w:ascii="Times New Roman" w:hAnsi="Times New Roman" w:cs="Times New Roman"/>
          <w:szCs w:val="21"/>
        </w:rPr>
        <w:t>，</w:t>
      </w:r>
      <w:r>
        <w:rPr>
          <w:rFonts w:ascii="Times New Roman" w:hAnsi="Times New Roman" w:cs="Times New Roman"/>
          <w:szCs w:val="21"/>
        </w:rPr>
        <w:t>甲方有</w:t>
      </w:r>
      <w:r>
        <w:rPr>
          <w:rFonts w:hint="eastAsia" w:ascii="Times New Roman" w:hAnsi="Times New Roman" w:cs="Times New Roman"/>
          <w:szCs w:val="21"/>
        </w:rPr>
        <w:t>权调整供货数量。如增加或减少供货数量时，甲方应提前日通知乙方。对增加供货数量的，</w:t>
      </w:r>
      <w:r>
        <w:rPr>
          <w:rFonts w:ascii="Times New Roman" w:hAnsi="Times New Roman" w:cs="Times New Roman"/>
          <w:szCs w:val="21"/>
        </w:rPr>
        <w:t>乙方</w:t>
      </w:r>
      <w:r>
        <w:rPr>
          <w:rFonts w:hint="eastAsia" w:ascii="Times New Roman" w:hAnsi="Times New Roman" w:cs="Times New Roman"/>
          <w:szCs w:val="21"/>
        </w:rPr>
        <w:t>应在</w:t>
      </w:r>
      <w:r>
        <w:rPr>
          <w:rFonts w:ascii="Times New Roman" w:hAnsi="Times New Roman" w:cs="Times New Roman"/>
          <w:szCs w:val="21"/>
        </w:rPr>
        <w:t>在接到甲方补单通知后日内将增加</w:t>
      </w:r>
      <w:r>
        <w:rPr>
          <w:rFonts w:hint="eastAsia" w:ascii="Times New Roman" w:hAnsi="Times New Roman" w:cs="Times New Roman"/>
          <w:szCs w:val="21"/>
        </w:rPr>
        <w:t>的货物</w:t>
      </w:r>
      <w:r>
        <w:rPr>
          <w:rFonts w:ascii="Times New Roman" w:hAnsi="Times New Roman" w:cs="Times New Roman"/>
          <w:szCs w:val="21"/>
        </w:rPr>
        <w:t>按本合同价格及相关质量要求及时</w:t>
      </w:r>
      <w:r>
        <w:rPr>
          <w:rFonts w:hint="eastAsia" w:ascii="Times New Roman" w:hAnsi="Times New Roman" w:cs="Times New Roman"/>
          <w:szCs w:val="21"/>
        </w:rPr>
        <w:t>供</w:t>
      </w:r>
      <w:r>
        <w:rPr>
          <w:rFonts w:ascii="Times New Roman" w:hAnsi="Times New Roman" w:cs="Times New Roman"/>
          <w:szCs w:val="21"/>
        </w:rPr>
        <w:t>货到位。</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13.</w:t>
      </w:r>
      <w:r>
        <w:rPr>
          <w:rFonts w:ascii="Times New Roman" w:hAnsi="Times New Roman" w:cs="Times New Roman"/>
          <w:b/>
          <w:bCs/>
          <w:szCs w:val="21"/>
        </w:rPr>
        <w:t>不可抗力</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14.</w:t>
      </w:r>
      <w:r>
        <w:rPr>
          <w:rFonts w:ascii="Times New Roman" w:hAnsi="Times New Roman" w:cs="Times New Roman"/>
          <w:b/>
          <w:bCs/>
          <w:szCs w:val="21"/>
        </w:rPr>
        <w:t>争议解决方式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本合同项下所发生的争议，由双方协商解决，协商不成的，双方同意按照依法向人民法院提起诉讼解决。</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15.</w:t>
      </w:r>
      <w:r>
        <w:rPr>
          <w:rFonts w:ascii="Times New Roman" w:hAnsi="Times New Roman" w:cs="Times New Roman"/>
          <w:b/>
          <w:bCs/>
          <w:szCs w:val="21"/>
        </w:rPr>
        <w:t>其他条款</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15.1</w:t>
      </w:r>
      <w:r>
        <w:rPr>
          <w:rFonts w:ascii="Times New Roman" w:hAnsi="Times New Roman" w:cs="Times New Roman"/>
          <w:szCs w:val="21"/>
        </w:rPr>
        <w:t>本合同自双方</w:t>
      </w:r>
      <w:r>
        <w:rPr>
          <w:rFonts w:hint="eastAsia" w:ascii="Times New Roman" w:hAnsi="Times New Roman" w:cs="Times New Roman"/>
          <w:szCs w:val="21"/>
        </w:rPr>
        <w:t>签名</w:t>
      </w:r>
      <w:r>
        <w:rPr>
          <w:rFonts w:ascii="Times New Roman" w:hAnsi="Times New Roman" w:cs="Times New Roman"/>
          <w:szCs w:val="21"/>
        </w:rPr>
        <w:t>盖章之日起生效。本合同及附件共页，一式</w:t>
      </w:r>
      <w:r>
        <w:rPr>
          <w:rFonts w:hint="eastAsia" w:ascii="Times New Roman" w:hAnsi="Times New Roman" w:cs="Times New Roman"/>
          <w:szCs w:val="21"/>
          <w:u w:val="single"/>
        </w:rPr>
        <w:t>四</w:t>
      </w:r>
      <w:r>
        <w:rPr>
          <w:rFonts w:ascii="Times New Roman" w:hAnsi="Times New Roman" w:cs="Times New Roman"/>
          <w:szCs w:val="21"/>
        </w:rPr>
        <w:t>份，具有同等法律效力，其中甲方</w:t>
      </w:r>
      <w:r>
        <w:rPr>
          <w:rFonts w:hint="eastAsia" w:ascii="Times New Roman" w:hAnsi="Times New Roman" w:cs="Times New Roman"/>
          <w:szCs w:val="21"/>
          <w:u w:val="single"/>
        </w:rPr>
        <w:t>贰</w:t>
      </w:r>
      <w:r>
        <w:rPr>
          <w:rFonts w:ascii="Times New Roman" w:hAnsi="Times New Roman" w:cs="Times New Roman"/>
          <w:szCs w:val="21"/>
        </w:rPr>
        <w:t>份，乙方</w:t>
      </w:r>
      <w:r>
        <w:rPr>
          <w:rFonts w:hint="eastAsia" w:ascii="Times New Roman" w:hAnsi="Times New Roman" w:cs="Times New Roman"/>
          <w:szCs w:val="21"/>
          <w:u w:val="single"/>
        </w:rPr>
        <w:t>贰</w:t>
      </w:r>
      <w:r>
        <w:rPr>
          <w:rFonts w:ascii="Times New Roman" w:hAnsi="Times New Roman" w:cs="Times New Roman"/>
          <w:szCs w:val="21"/>
        </w:rPr>
        <w:t>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15.2</w:t>
      </w:r>
      <w:r>
        <w:rPr>
          <w:rFonts w:ascii="Times New Roman" w:hAnsi="Times New Roman" w:cs="Times New Roman"/>
          <w:szCs w:val="21"/>
        </w:rPr>
        <w:t>本项目</w:t>
      </w:r>
      <w:r>
        <w:rPr>
          <w:rFonts w:hint="eastAsia" w:ascii="Times New Roman" w:hAnsi="Times New Roman" w:cs="Times New Roman"/>
          <w:szCs w:val="21"/>
        </w:rPr>
        <w:t>采购</w:t>
      </w:r>
      <w:r>
        <w:rPr>
          <w:rFonts w:ascii="Times New Roman" w:hAnsi="Times New Roman" w:cs="Times New Roman"/>
          <w:szCs w:val="21"/>
        </w:rPr>
        <w:t>文件</w:t>
      </w:r>
      <w:r>
        <w:rPr>
          <w:rFonts w:hint="eastAsia" w:ascii="Times New Roman" w:hAnsi="Times New Roman" w:cs="Times New Roman"/>
          <w:szCs w:val="21"/>
        </w:rPr>
        <w:t>、响应</w:t>
      </w:r>
      <w:r>
        <w:rPr>
          <w:rFonts w:ascii="Times New Roman" w:hAnsi="Times New Roman" w:cs="Times New Roman"/>
          <w:szCs w:val="21"/>
        </w:rPr>
        <w:t>文件、</w:t>
      </w:r>
      <w:r>
        <w:rPr>
          <w:rFonts w:hint="eastAsia" w:ascii="Times New Roman" w:hAnsi="Times New Roman" w:cs="Times New Roman"/>
          <w:szCs w:val="21"/>
        </w:rPr>
        <w:t>成交</w:t>
      </w:r>
      <w:r>
        <w:rPr>
          <w:rFonts w:ascii="Times New Roman" w:hAnsi="Times New Roman" w:cs="Times New Roman"/>
          <w:szCs w:val="21"/>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15.3</w:t>
      </w:r>
      <w:r>
        <w:rPr>
          <w:rFonts w:ascii="Times New Roman" w:hAnsi="Times New Roman" w:cs="Times New Roman"/>
          <w:szCs w:val="21"/>
        </w:rPr>
        <w:t>本合同未尽事宜，双方可协商签订补充协议，补充协议与本合同具有同等法律效力。</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15.4</w:t>
      </w:r>
      <w:r>
        <w:rPr>
          <w:rFonts w:ascii="Times New Roman" w:hAnsi="Times New Roman" w:cs="Times New Roman"/>
          <w:szCs w:val="21"/>
        </w:rPr>
        <w:t>其他约定：。</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甲</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乙</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 w:val="24"/>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rPr>
          <w:rFonts w:ascii="Times New Roman" w:hAnsi="Times New Roman" w:cs="Times New Roman"/>
        </w:rPr>
      </w:pPr>
    </w:p>
    <w:p>
      <w:pPr>
        <w:snapToGrid w:val="0"/>
        <w:spacing w:line="440" w:lineRule="exact"/>
        <w:rPr>
          <w:rFonts w:ascii="Times New Roman" w:hAnsi="Times New Roman" w:cs="Times New Roman"/>
          <w:szCs w:val="21"/>
        </w:rPr>
      </w:pPr>
      <w:r>
        <w:rPr>
          <w:rFonts w:ascii="Times New Roman" w:hAnsi="Times New Roman" w:cs="Times New Roman"/>
          <w:szCs w:val="21"/>
        </w:rPr>
        <w:br w:type="page"/>
      </w:r>
    </w:p>
    <w:p>
      <w:pPr>
        <w:pStyle w:val="2"/>
        <w:numPr>
          <w:ilvl w:val="0"/>
          <w:numId w:val="3"/>
        </w:numPr>
        <w:spacing w:before="312" w:after="312"/>
        <w:ind w:firstLine="0"/>
        <w:rPr>
          <w:rFonts w:ascii="Times New Roman" w:hAnsi="Times New Roman" w:eastAsia="宋体" w:cs="Times New Roman"/>
        </w:rPr>
      </w:pPr>
      <w:r>
        <w:rPr>
          <w:rFonts w:ascii="Times New Roman" w:hAnsi="Times New Roman" w:eastAsia="宋体" w:cs="Times New Roman"/>
        </w:rPr>
        <w:t>采购需求及清单</w:t>
      </w:r>
      <w:bookmarkEnd w:id="91"/>
    </w:p>
    <w:p>
      <w:pPr>
        <w:snapToGrid w:val="0"/>
        <w:spacing w:line="560" w:lineRule="exact"/>
        <w:rPr>
          <w:rFonts w:ascii="宋体" w:hAnsi="宋体" w:cs="仿宋_GB2312"/>
          <w:sz w:val="30"/>
          <w:szCs w:val="30"/>
        </w:rPr>
      </w:pPr>
      <w:r>
        <w:rPr>
          <w:rFonts w:hint="eastAsia" w:ascii="宋体" w:hAnsi="宋体" w:cs="仿宋_GB2312"/>
          <w:sz w:val="30"/>
          <w:szCs w:val="30"/>
        </w:rPr>
        <w:t>（1包）</w:t>
      </w:r>
    </w:p>
    <w:tbl>
      <w:tblPr>
        <w:tblStyle w:val="14"/>
        <w:tblW w:w="9621" w:type="dxa"/>
        <w:jc w:val="center"/>
        <w:tblLayout w:type="fixed"/>
        <w:tblCellMar>
          <w:top w:w="0" w:type="dxa"/>
          <w:left w:w="108" w:type="dxa"/>
          <w:bottom w:w="0" w:type="dxa"/>
          <w:right w:w="108" w:type="dxa"/>
        </w:tblCellMar>
      </w:tblPr>
      <w:tblGrid>
        <w:gridCol w:w="468"/>
        <w:gridCol w:w="1204"/>
        <w:gridCol w:w="4764"/>
        <w:gridCol w:w="3185"/>
      </w:tblGrid>
      <w:tr>
        <w:tblPrEx>
          <w:tblCellMar>
            <w:top w:w="0" w:type="dxa"/>
            <w:left w:w="108" w:type="dxa"/>
            <w:bottom w:w="0" w:type="dxa"/>
            <w:right w:w="108" w:type="dxa"/>
          </w:tblCellMar>
        </w:tblPrEx>
        <w:trPr>
          <w:trHeight w:val="560" w:hRule="atLeast"/>
          <w:jc w:val="center"/>
        </w:trPr>
        <w:tc>
          <w:tcPr>
            <w:tcW w:w="9621"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别克越行版参数</w:t>
            </w:r>
          </w:p>
        </w:tc>
      </w:tr>
      <w:tr>
        <w:tblPrEx>
          <w:tblCellMar>
            <w:top w:w="0" w:type="dxa"/>
            <w:left w:w="108" w:type="dxa"/>
            <w:bottom w:w="0" w:type="dxa"/>
            <w:right w:w="108" w:type="dxa"/>
          </w:tblCellMar>
        </w:tblPrEx>
        <w:trPr>
          <w:trHeight w:val="560" w:hRule="atLeast"/>
          <w:jc w:val="center"/>
        </w:trPr>
        <w:tc>
          <w:tcPr>
            <w:tcW w:w="468" w:type="dxa"/>
            <w:vMerge w:val="restart"/>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204" w:type="dxa"/>
            <w:vMerge w:val="restart"/>
            <w:tcBorders>
              <w:top w:val="nil"/>
              <w:left w:val="nil"/>
              <w:right w:val="single" w:color="000000" w:sz="4" w:space="0"/>
            </w:tcBorders>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基础参数</w:t>
            </w:r>
          </w:p>
          <w:p>
            <w:pPr>
              <w:widowControl/>
              <w:jc w:val="center"/>
              <w:textAlignment w:val="center"/>
              <w:rPr>
                <w:rFonts w:ascii="宋体" w:hAnsi="宋体" w:eastAsia="宋体" w:cs="宋体"/>
                <w:color w:val="000000"/>
                <w:sz w:val="18"/>
                <w:szCs w:val="18"/>
              </w:rPr>
            </w:pPr>
          </w:p>
        </w:tc>
        <w:tc>
          <w:tcPr>
            <w:tcW w:w="4764"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发动机</w:t>
            </w:r>
          </w:p>
        </w:tc>
        <w:tc>
          <w:tcPr>
            <w:tcW w:w="3185"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 xml:space="preserve"> 1.5T四缸直喷涡轮增压发动机</w:t>
            </w:r>
          </w:p>
        </w:tc>
      </w:tr>
      <w:tr>
        <w:tblPrEx>
          <w:tblCellMar>
            <w:top w:w="0" w:type="dxa"/>
            <w:left w:w="108" w:type="dxa"/>
            <w:bottom w:w="0" w:type="dxa"/>
            <w:right w:w="108" w:type="dxa"/>
          </w:tblCellMar>
        </w:tblPrEx>
        <w:trPr>
          <w:trHeight w:val="560" w:hRule="atLeast"/>
          <w:jc w:val="center"/>
        </w:trPr>
        <w:tc>
          <w:tcPr>
            <w:tcW w:w="468" w:type="dxa"/>
            <w:vMerge w:val="continue"/>
            <w:tcBorders>
              <w:top w:val="nil"/>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left w:val="nil"/>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变速箱</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CVT</w:t>
            </w:r>
          </w:p>
        </w:tc>
      </w:tr>
      <w:tr>
        <w:tblPrEx>
          <w:tblCellMar>
            <w:top w:w="0" w:type="dxa"/>
            <w:left w:w="108" w:type="dxa"/>
            <w:bottom w:w="0" w:type="dxa"/>
            <w:right w:w="108" w:type="dxa"/>
          </w:tblCellMar>
        </w:tblPrEx>
        <w:trPr>
          <w:trHeight w:val="560" w:hRule="atLeast"/>
          <w:jc w:val="center"/>
        </w:trPr>
        <w:tc>
          <w:tcPr>
            <w:tcW w:w="468" w:type="dxa"/>
            <w:vMerge w:val="continue"/>
            <w:tcBorders>
              <w:top w:val="nil"/>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left w:val="nil"/>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长*宽*高（mm）</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4996*1866*1469</w:t>
            </w:r>
          </w:p>
        </w:tc>
      </w:tr>
      <w:tr>
        <w:tblPrEx>
          <w:tblCellMar>
            <w:top w:w="0" w:type="dxa"/>
            <w:left w:w="108" w:type="dxa"/>
            <w:bottom w:w="0" w:type="dxa"/>
            <w:right w:w="108" w:type="dxa"/>
          </w:tblCellMar>
        </w:tblPrEx>
        <w:trPr>
          <w:trHeight w:val="560" w:hRule="atLeast"/>
          <w:jc w:val="center"/>
        </w:trPr>
        <w:tc>
          <w:tcPr>
            <w:tcW w:w="468" w:type="dxa"/>
            <w:vMerge w:val="continue"/>
            <w:tcBorders>
              <w:top w:val="nil"/>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left w:val="nil"/>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轴距（mm）</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2905</w:t>
            </w:r>
          </w:p>
        </w:tc>
      </w:tr>
      <w:tr>
        <w:tblPrEx>
          <w:tblCellMar>
            <w:top w:w="0" w:type="dxa"/>
            <w:left w:w="108" w:type="dxa"/>
            <w:bottom w:w="0" w:type="dxa"/>
            <w:right w:w="108" w:type="dxa"/>
          </w:tblCellMar>
        </w:tblPrEx>
        <w:trPr>
          <w:trHeight w:val="560" w:hRule="atLeast"/>
          <w:jc w:val="center"/>
        </w:trPr>
        <w:tc>
          <w:tcPr>
            <w:tcW w:w="468" w:type="dxa"/>
            <w:vMerge w:val="continue"/>
            <w:tcBorders>
              <w:top w:val="nil"/>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left w:val="nil"/>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油箱容积（L）</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60</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left w:val="nil"/>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车门（个）</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4</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left w:val="nil"/>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座位数（个）</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5</w:t>
            </w:r>
          </w:p>
        </w:tc>
      </w:tr>
      <w:tr>
        <w:tblPrEx>
          <w:tblCellMar>
            <w:top w:w="0" w:type="dxa"/>
            <w:left w:w="108" w:type="dxa"/>
            <w:bottom w:w="0" w:type="dxa"/>
            <w:right w:w="108" w:type="dxa"/>
          </w:tblCellMar>
        </w:tblPrEx>
        <w:trPr>
          <w:trHeight w:val="560" w:hRule="atLeast"/>
          <w:jc w:val="center"/>
        </w:trPr>
        <w:tc>
          <w:tcPr>
            <w:tcW w:w="46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1204" w:type="dxa"/>
            <w:vMerge w:val="restar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底盘</w:t>
            </w: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驱动方式</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前驱</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前悬架类型</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麦弗逊独立悬架</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后悬架类型</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多连杆独立悬架</w:t>
            </w:r>
          </w:p>
        </w:tc>
      </w:tr>
      <w:tr>
        <w:tblPrEx>
          <w:tblCellMar>
            <w:top w:w="0" w:type="dxa"/>
            <w:left w:w="108" w:type="dxa"/>
            <w:bottom w:w="0" w:type="dxa"/>
            <w:right w:w="108" w:type="dxa"/>
          </w:tblCellMar>
        </w:tblPrEx>
        <w:trPr>
          <w:trHeight w:val="560" w:hRule="atLeast"/>
          <w:jc w:val="center"/>
        </w:trPr>
        <w:tc>
          <w:tcPr>
            <w:tcW w:w="46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c>
          <w:tcPr>
            <w:tcW w:w="1204" w:type="dxa"/>
            <w:vMerge w:val="restar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车轮制动</w:t>
            </w: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前制动类型</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通风盘式</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后制动类型</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盘式</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前轮胎规格</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225/60 R17</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后轮胎规格</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225/60 R17</w:t>
            </w:r>
          </w:p>
        </w:tc>
      </w:tr>
      <w:tr>
        <w:tblPrEx>
          <w:tblCellMar>
            <w:top w:w="0" w:type="dxa"/>
            <w:left w:w="108" w:type="dxa"/>
            <w:bottom w:w="0" w:type="dxa"/>
            <w:right w:w="108" w:type="dxa"/>
          </w:tblCellMar>
        </w:tblPrEx>
        <w:trPr>
          <w:trHeight w:val="560" w:hRule="atLeast"/>
          <w:jc w:val="center"/>
        </w:trPr>
        <w:tc>
          <w:tcPr>
            <w:tcW w:w="46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1204" w:type="dxa"/>
            <w:vMerge w:val="restar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发动机</w:t>
            </w: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发动机类型</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1.5T四缸直喷涡轮增压发动机</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排量（mL）</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1498</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排量（L）</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1.5</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进气形式</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涡轮增压</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额定功率（ps/rpm）</w:t>
            </w:r>
          </w:p>
          <w:p>
            <w:pPr>
              <w:widowControl/>
              <w:jc w:val="center"/>
              <w:textAlignment w:val="center"/>
              <w:rPr>
                <w:rFonts w:ascii="宋体" w:hAnsi="宋体" w:eastAsia="宋体" w:cs="宋体"/>
                <w:color w:val="000000"/>
                <w:sz w:val="18"/>
                <w:szCs w:val="18"/>
              </w:rPr>
            </w:pP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132</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最大扭矩（N.m/rpm）</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250</w:t>
            </w:r>
          </w:p>
        </w:tc>
      </w:tr>
      <w:tr>
        <w:tblPrEx>
          <w:tblCellMar>
            <w:top w:w="0" w:type="dxa"/>
            <w:left w:w="108" w:type="dxa"/>
            <w:bottom w:w="0" w:type="dxa"/>
            <w:right w:w="108" w:type="dxa"/>
          </w:tblCellMar>
        </w:tblPrEx>
        <w:trPr>
          <w:trHeight w:val="560" w:hRule="atLeast"/>
          <w:jc w:val="center"/>
        </w:trPr>
        <w:tc>
          <w:tcPr>
            <w:tcW w:w="46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1204" w:type="dxa"/>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主/被动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安全装备</w:t>
            </w: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主副驾驶座安全气囊</w:t>
            </w:r>
          </w:p>
        </w:tc>
        <w:tc>
          <w:tcPr>
            <w:tcW w:w="3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副●</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倒车雷达</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ABS+EBD+BAS</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ESP+HHC</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EPS电动助力转向</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高清倒车影像</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r>
      <w:tr>
        <w:tblPrEx>
          <w:tblCellMar>
            <w:top w:w="0" w:type="dxa"/>
            <w:left w:w="108" w:type="dxa"/>
            <w:bottom w:w="0" w:type="dxa"/>
            <w:right w:w="108" w:type="dxa"/>
          </w:tblCellMar>
        </w:tblPrEx>
        <w:trPr>
          <w:trHeight w:val="560" w:hRule="atLeast"/>
          <w:jc w:val="center"/>
        </w:trPr>
        <w:tc>
          <w:tcPr>
            <w:tcW w:w="4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w:t>
            </w:r>
          </w:p>
        </w:tc>
        <w:tc>
          <w:tcPr>
            <w:tcW w:w="1204" w:type="dxa"/>
            <w:tcBorders>
              <w:top w:val="single" w:color="000000" w:sz="4" w:space="0"/>
              <w:left w:val="nil"/>
              <w:bottom w:val="single" w:color="000000" w:sz="4" w:space="0"/>
              <w:right w:val="single" w:color="000000"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加装</w:t>
            </w: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品牌</w:t>
            </w:r>
            <w:r>
              <w:rPr>
                <w:rFonts w:hint="eastAsia" w:ascii="宋体" w:hAnsi="宋体" w:eastAsia="宋体" w:cs="宋体"/>
                <w:color w:val="000000"/>
                <w:sz w:val="18"/>
                <w:szCs w:val="18"/>
              </w:rPr>
              <w:t>全包围脚垫，坐垫、腰枕、</w:t>
            </w:r>
            <w:r>
              <w:rPr>
                <w:rFonts w:hint="eastAsia" w:ascii="宋体" w:hAnsi="宋体" w:eastAsia="宋体" w:cs="宋体"/>
                <w:color w:val="000000"/>
                <w:sz w:val="18"/>
                <w:szCs w:val="18"/>
                <w:lang w:val="en-US" w:eastAsia="zh-CN"/>
              </w:rPr>
              <w:t>颈枕</w:t>
            </w:r>
            <w:r>
              <w:rPr>
                <w:rFonts w:hint="eastAsia" w:ascii="宋体" w:hAnsi="宋体" w:eastAsia="宋体" w:cs="宋体"/>
                <w:color w:val="000000"/>
                <w:sz w:val="18"/>
                <w:szCs w:val="18"/>
              </w:rPr>
              <w:t>，遮阳帘，吸顶警灯，警报器</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bl>
    <w:p>
      <w:pPr>
        <w:pStyle w:val="5"/>
        <w:rPr>
          <w:rFonts w:ascii="宋体" w:hAnsi="宋体" w:cs="仿宋_GB2312"/>
          <w:sz w:val="30"/>
          <w:szCs w:val="30"/>
        </w:rPr>
      </w:pPr>
    </w:p>
    <w:p>
      <w:pPr>
        <w:pStyle w:val="5"/>
        <w:rPr>
          <w:rFonts w:ascii="宋体" w:hAnsi="宋体" w:cs="仿宋_GB2312"/>
          <w:sz w:val="30"/>
          <w:szCs w:val="30"/>
        </w:rPr>
      </w:pPr>
    </w:p>
    <w:p>
      <w:pPr>
        <w:pStyle w:val="5"/>
        <w:rPr>
          <w:rFonts w:ascii="宋体" w:hAnsi="宋体" w:cs="仿宋_GB2312"/>
          <w:sz w:val="30"/>
          <w:szCs w:val="30"/>
        </w:rPr>
      </w:pPr>
    </w:p>
    <w:p>
      <w:pPr>
        <w:pStyle w:val="5"/>
        <w:rPr>
          <w:rFonts w:ascii="宋体" w:hAnsi="宋体" w:cs="仿宋_GB2312"/>
          <w:sz w:val="30"/>
          <w:szCs w:val="30"/>
        </w:rPr>
      </w:pPr>
    </w:p>
    <w:p>
      <w:pPr>
        <w:pStyle w:val="5"/>
        <w:rPr>
          <w:rFonts w:ascii="宋体" w:hAnsi="宋体" w:cs="仿宋_GB2312"/>
          <w:sz w:val="30"/>
          <w:szCs w:val="30"/>
        </w:rPr>
      </w:pPr>
    </w:p>
    <w:p>
      <w:pPr>
        <w:pStyle w:val="5"/>
        <w:rPr>
          <w:rFonts w:ascii="宋体" w:hAnsi="宋体" w:cs="仿宋_GB2312"/>
          <w:sz w:val="30"/>
          <w:szCs w:val="30"/>
        </w:rPr>
      </w:pPr>
    </w:p>
    <w:p>
      <w:pPr>
        <w:pStyle w:val="5"/>
        <w:rPr>
          <w:rFonts w:ascii="宋体" w:hAnsi="宋体" w:cs="仿宋_GB2312"/>
          <w:sz w:val="30"/>
          <w:szCs w:val="30"/>
        </w:rPr>
      </w:pPr>
    </w:p>
    <w:p>
      <w:pPr>
        <w:pStyle w:val="5"/>
        <w:rPr>
          <w:rFonts w:ascii="宋体" w:hAnsi="宋体" w:cs="仿宋_GB2312"/>
          <w:sz w:val="30"/>
          <w:szCs w:val="30"/>
        </w:rPr>
      </w:pPr>
    </w:p>
    <w:p>
      <w:pPr>
        <w:pStyle w:val="5"/>
        <w:rPr>
          <w:rFonts w:ascii="宋体" w:hAnsi="宋体" w:cs="仿宋_GB2312"/>
          <w:sz w:val="30"/>
          <w:szCs w:val="30"/>
        </w:rPr>
      </w:pPr>
    </w:p>
    <w:p>
      <w:pPr>
        <w:pStyle w:val="5"/>
        <w:rPr>
          <w:rFonts w:ascii="宋体" w:hAnsi="宋体" w:cs="仿宋_GB2312"/>
          <w:sz w:val="30"/>
          <w:szCs w:val="30"/>
        </w:rPr>
      </w:pPr>
    </w:p>
    <w:p>
      <w:pPr>
        <w:pStyle w:val="5"/>
        <w:rPr>
          <w:rFonts w:ascii="宋体" w:hAnsi="宋体" w:cs="仿宋_GB2312"/>
          <w:sz w:val="30"/>
          <w:szCs w:val="30"/>
        </w:rPr>
      </w:pPr>
    </w:p>
    <w:p>
      <w:pPr>
        <w:pStyle w:val="5"/>
        <w:rPr>
          <w:rFonts w:ascii="宋体" w:hAnsi="宋体" w:cs="仿宋_GB2312"/>
          <w:sz w:val="30"/>
          <w:szCs w:val="30"/>
        </w:rPr>
      </w:pPr>
    </w:p>
    <w:p>
      <w:pPr>
        <w:pStyle w:val="5"/>
        <w:rPr>
          <w:rFonts w:ascii="宋体" w:hAnsi="宋体" w:cs="仿宋_GB2312"/>
          <w:sz w:val="30"/>
          <w:szCs w:val="30"/>
        </w:rPr>
      </w:pPr>
    </w:p>
    <w:p>
      <w:pPr>
        <w:pStyle w:val="5"/>
        <w:rPr>
          <w:rFonts w:ascii="宋体" w:hAnsi="宋体" w:cs="仿宋_GB2312"/>
          <w:sz w:val="30"/>
          <w:szCs w:val="30"/>
        </w:rPr>
      </w:pPr>
      <w:r>
        <w:rPr>
          <w:rFonts w:hint="eastAsia" w:ascii="宋体" w:hAnsi="宋体" w:cs="仿宋_GB2312"/>
          <w:sz w:val="30"/>
          <w:szCs w:val="30"/>
        </w:rPr>
        <w:t>（2包）</w:t>
      </w:r>
    </w:p>
    <w:tbl>
      <w:tblPr>
        <w:tblStyle w:val="14"/>
        <w:tblW w:w="9621" w:type="dxa"/>
        <w:jc w:val="center"/>
        <w:tblLayout w:type="fixed"/>
        <w:tblCellMar>
          <w:top w:w="0" w:type="dxa"/>
          <w:left w:w="108" w:type="dxa"/>
          <w:bottom w:w="0" w:type="dxa"/>
          <w:right w:w="108" w:type="dxa"/>
        </w:tblCellMar>
      </w:tblPr>
      <w:tblGrid>
        <w:gridCol w:w="468"/>
        <w:gridCol w:w="1204"/>
        <w:gridCol w:w="4764"/>
        <w:gridCol w:w="3185"/>
      </w:tblGrid>
      <w:tr>
        <w:tblPrEx>
          <w:tblCellMar>
            <w:top w:w="0" w:type="dxa"/>
            <w:left w:w="108" w:type="dxa"/>
            <w:bottom w:w="0" w:type="dxa"/>
            <w:right w:w="108" w:type="dxa"/>
          </w:tblCellMar>
        </w:tblPrEx>
        <w:trPr>
          <w:trHeight w:val="560" w:hRule="atLeast"/>
          <w:jc w:val="center"/>
        </w:trPr>
        <w:tc>
          <w:tcPr>
            <w:tcW w:w="9621"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江铃福顺15座豪华型参数</w:t>
            </w:r>
          </w:p>
        </w:tc>
      </w:tr>
      <w:tr>
        <w:tblPrEx>
          <w:tblCellMar>
            <w:top w:w="0" w:type="dxa"/>
            <w:left w:w="108" w:type="dxa"/>
            <w:bottom w:w="0" w:type="dxa"/>
            <w:right w:w="108" w:type="dxa"/>
          </w:tblCellMar>
        </w:tblPrEx>
        <w:trPr>
          <w:trHeight w:val="560" w:hRule="atLeast"/>
          <w:jc w:val="center"/>
        </w:trPr>
        <w:tc>
          <w:tcPr>
            <w:tcW w:w="468" w:type="dxa"/>
            <w:vMerge w:val="restart"/>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204" w:type="dxa"/>
            <w:vMerge w:val="restart"/>
            <w:tcBorders>
              <w:top w:val="nil"/>
              <w:left w:val="nil"/>
              <w:right w:val="single" w:color="000000" w:sz="4" w:space="0"/>
            </w:tcBorders>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基础参数</w:t>
            </w:r>
          </w:p>
          <w:p>
            <w:pPr>
              <w:widowControl/>
              <w:jc w:val="center"/>
              <w:textAlignment w:val="center"/>
              <w:rPr>
                <w:rFonts w:ascii="宋体" w:hAnsi="宋体" w:eastAsia="宋体" w:cs="宋体"/>
                <w:color w:val="000000"/>
                <w:sz w:val="18"/>
                <w:szCs w:val="18"/>
              </w:rPr>
            </w:pPr>
          </w:p>
        </w:tc>
        <w:tc>
          <w:tcPr>
            <w:tcW w:w="4764"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发动机</w:t>
            </w:r>
          </w:p>
        </w:tc>
        <w:tc>
          <w:tcPr>
            <w:tcW w:w="3185"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JX4D20A6H</w:t>
            </w:r>
          </w:p>
        </w:tc>
      </w:tr>
      <w:tr>
        <w:tblPrEx>
          <w:tblCellMar>
            <w:top w:w="0" w:type="dxa"/>
            <w:left w:w="108" w:type="dxa"/>
            <w:bottom w:w="0" w:type="dxa"/>
            <w:right w:w="108" w:type="dxa"/>
          </w:tblCellMar>
        </w:tblPrEx>
        <w:trPr>
          <w:trHeight w:val="560" w:hRule="atLeast"/>
          <w:jc w:val="center"/>
        </w:trPr>
        <w:tc>
          <w:tcPr>
            <w:tcW w:w="468" w:type="dxa"/>
            <w:vMerge w:val="continue"/>
            <w:tcBorders>
              <w:top w:val="nil"/>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left w:val="nil"/>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变速箱</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8AT自动变速器</w:t>
            </w:r>
          </w:p>
        </w:tc>
      </w:tr>
      <w:tr>
        <w:tblPrEx>
          <w:tblCellMar>
            <w:top w:w="0" w:type="dxa"/>
            <w:left w:w="108" w:type="dxa"/>
            <w:bottom w:w="0" w:type="dxa"/>
            <w:right w:w="108" w:type="dxa"/>
          </w:tblCellMar>
        </w:tblPrEx>
        <w:trPr>
          <w:trHeight w:val="560" w:hRule="atLeast"/>
          <w:jc w:val="center"/>
        </w:trPr>
        <w:tc>
          <w:tcPr>
            <w:tcW w:w="468" w:type="dxa"/>
            <w:vMerge w:val="continue"/>
            <w:tcBorders>
              <w:top w:val="nil"/>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left w:val="nil"/>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长*宽*高（mm）</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5998*2098*2498</w:t>
            </w:r>
          </w:p>
        </w:tc>
      </w:tr>
      <w:tr>
        <w:tblPrEx>
          <w:tblCellMar>
            <w:top w:w="0" w:type="dxa"/>
            <w:left w:w="108" w:type="dxa"/>
            <w:bottom w:w="0" w:type="dxa"/>
            <w:right w:w="108" w:type="dxa"/>
          </w:tblCellMar>
        </w:tblPrEx>
        <w:trPr>
          <w:trHeight w:val="560" w:hRule="atLeast"/>
          <w:jc w:val="center"/>
        </w:trPr>
        <w:tc>
          <w:tcPr>
            <w:tcW w:w="468" w:type="dxa"/>
            <w:vMerge w:val="continue"/>
            <w:tcBorders>
              <w:top w:val="nil"/>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left w:val="nil"/>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轴距（mm）</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3750</w:t>
            </w:r>
          </w:p>
        </w:tc>
      </w:tr>
      <w:tr>
        <w:tblPrEx>
          <w:tblCellMar>
            <w:top w:w="0" w:type="dxa"/>
            <w:left w:w="108" w:type="dxa"/>
            <w:bottom w:w="0" w:type="dxa"/>
            <w:right w:w="108" w:type="dxa"/>
          </w:tblCellMar>
        </w:tblPrEx>
        <w:trPr>
          <w:trHeight w:val="560" w:hRule="atLeast"/>
          <w:jc w:val="center"/>
        </w:trPr>
        <w:tc>
          <w:tcPr>
            <w:tcW w:w="468" w:type="dxa"/>
            <w:vMerge w:val="continue"/>
            <w:tcBorders>
              <w:top w:val="nil"/>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left w:val="nil"/>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油箱容积（L）</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80</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left w:val="nil"/>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车门（个）</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5</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left w:val="nil"/>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座位数（个）</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15</w:t>
            </w:r>
          </w:p>
        </w:tc>
      </w:tr>
      <w:tr>
        <w:tblPrEx>
          <w:tblCellMar>
            <w:top w:w="0" w:type="dxa"/>
            <w:left w:w="108" w:type="dxa"/>
            <w:bottom w:w="0" w:type="dxa"/>
            <w:right w:w="108" w:type="dxa"/>
          </w:tblCellMar>
        </w:tblPrEx>
        <w:trPr>
          <w:trHeight w:val="560" w:hRule="atLeast"/>
          <w:jc w:val="center"/>
        </w:trPr>
        <w:tc>
          <w:tcPr>
            <w:tcW w:w="46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1204" w:type="dxa"/>
            <w:vMerge w:val="restar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底盘</w:t>
            </w: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驱动方式</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前置后驱</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前悬架类型</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麦弗逊悬架独立悬挂</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后悬架类型</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霍奇斯基悬挂</w:t>
            </w:r>
          </w:p>
        </w:tc>
      </w:tr>
      <w:tr>
        <w:tblPrEx>
          <w:tblCellMar>
            <w:top w:w="0" w:type="dxa"/>
            <w:left w:w="108" w:type="dxa"/>
            <w:bottom w:w="0" w:type="dxa"/>
            <w:right w:w="108" w:type="dxa"/>
          </w:tblCellMar>
        </w:tblPrEx>
        <w:trPr>
          <w:trHeight w:val="560" w:hRule="atLeast"/>
          <w:jc w:val="center"/>
        </w:trPr>
        <w:tc>
          <w:tcPr>
            <w:tcW w:w="46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c>
          <w:tcPr>
            <w:tcW w:w="1204" w:type="dxa"/>
            <w:vMerge w:val="restar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车轮制动</w:t>
            </w: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前制动类型</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微软雅黑" w:hAnsi="微软雅黑" w:eastAsia="微软雅黑" w:cs="微软雅黑"/>
                <w:color w:val="000000"/>
                <w:kern w:val="0"/>
                <w:sz w:val="20"/>
                <w:szCs w:val="20"/>
              </w:rPr>
              <w:t>盘式</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后制动类型</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微软雅黑" w:hAnsi="微软雅黑" w:eastAsia="微软雅黑" w:cs="微软雅黑"/>
                <w:color w:val="000000"/>
                <w:kern w:val="0"/>
                <w:sz w:val="20"/>
                <w:szCs w:val="20"/>
              </w:rPr>
              <w:t>盘式</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前轮胎规格</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185/75R16LT</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后轮胎规格</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185/75R16LT</w:t>
            </w:r>
          </w:p>
        </w:tc>
      </w:tr>
      <w:tr>
        <w:tblPrEx>
          <w:tblCellMar>
            <w:top w:w="0" w:type="dxa"/>
            <w:left w:w="108" w:type="dxa"/>
            <w:bottom w:w="0" w:type="dxa"/>
            <w:right w:w="108" w:type="dxa"/>
          </w:tblCellMar>
        </w:tblPrEx>
        <w:trPr>
          <w:trHeight w:val="560" w:hRule="atLeast"/>
          <w:jc w:val="center"/>
        </w:trPr>
        <w:tc>
          <w:tcPr>
            <w:tcW w:w="46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1204" w:type="dxa"/>
            <w:vMerge w:val="restar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发动机</w:t>
            </w: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发动机类型</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柴油发动机</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排量（mL）</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2000</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排量（L）</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2.0</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进气形式</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涡轮增压</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额定功率（ps/rpm）</w:t>
            </w:r>
          </w:p>
          <w:p>
            <w:pPr>
              <w:widowControl/>
              <w:jc w:val="center"/>
              <w:textAlignment w:val="center"/>
              <w:rPr>
                <w:rFonts w:ascii="宋体" w:hAnsi="宋体" w:eastAsia="宋体" w:cs="宋体"/>
                <w:color w:val="000000"/>
                <w:sz w:val="18"/>
                <w:szCs w:val="18"/>
              </w:rPr>
            </w:pP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146</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最大扭矩（N.m/rpm）</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355</w:t>
            </w:r>
          </w:p>
        </w:tc>
      </w:tr>
      <w:tr>
        <w:tblPrEx>
          <w:tblCellMar>
            <w:top w:w="0" w:type="dxa"/>
            <w:left w:w="108" w:type="dxa"/>
            <w:bottom w:w="0" w:type="dxa"/>
            <w:right w:w="108" w:type="dxa"/>
          </w:tblCellMar>
        </w:tblPrEx>
        <w:trPr>
          <w:trHeight w:val="560" w:hRule="atLeast"/>
          <w:jc w:val="center"/>
        </w:trPr>
        <w:tc>
          <w:tcPr>
            <w:tcW w:w="46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1204" w:type="dxa"/>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主/被动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安全装备</w:t>
            </w: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主副驾驶座安全气囊</w:t>
            </w:r>
          </w:p>
        </w:tc>
        <w:tc>
          <w:tcPr>
            <w:tcW w:w="3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副●</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前后雷达</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ABS+EBD+BAS</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ESP+HHC</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EPS电动助力转向</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高清倒车影像</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r>
      <w:tr>
        <w:tblPrEx>
          <w:tblCellMar>
            <w:top w:w="0" w:type="dxa"/>
            <w:left w:w="108" w:type="dxa"/>
            <w:bottom w:w="0" w:type="dxa"/>
            <w:right w:w="108" w:type="dxa"/>
          </w:tblCellMar>
        </w:tblPrEx>
        <w:trPr>
          <w:trHeight w:val="560" w:hRule="atLeast"/>
          <w:jc w:val="center"/>
        </w:trPr>
        <w:tc>
          <w:tcPr>
            <w:tcW w:w="4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颜色</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银色</w:t>
            </w:r>
          </w:p>
        </w:tc>
      </w:tr>
      <w:tr>
        <w:tblPrEx>
          <w:tblCellMar>
            <w:top w:w="0" w:type="dxa"/>
            <w:left w:w="108" w:type="dxa"/>
            <w:bottom w:w="0" w:type="dxa"/>
            <w:right w:w="108" w:type="dxa"/>
          </w:tblCellMar>
        </w:tblPrEx>
        <w:trPr>
          <w:trHeight w:val="560" w:hRule="atLeast"/>
          <w:jc w:val="center"/>
        </w:trPr>
        <w:tc>
          <w:tcPr>
            <w:tcW w:w="4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加装</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全车坐垫套</w:t>
            </w:r>
          </w:p>
        </w:tc>
      </w:tr>
    </w:tbl>
    <w:p>
      <w:pPr>
        <w:pStyle w:val="5"/>
        <w:rPr>
          <w:rFonts w:ascii="宋体" w:hAnsi="宋体" w:cs="仿宋_GB2312"/>
          <w:sz w:val="30"/>
          <w:szCs w:val="30"/>
        </w:rPr>
      </w:pPr>
    </w:p>
    <w:p>
      <w:pPr>
        <w:pStyle w:val="5"/>
        <w:rPr>
          <w:rFonts w:ascii="宋体" w:hAnsi="宋体" w:cs="仿宋_GB2312"/>
          <w:sz w:val="30"/>
          <w:szCs w:val="30"/>
        </w:rPr>
      </w:pPr>
    </w:p>
    <w:p>
      <w:pPr>
        <w:pStyle w:val="5"/>
        <w:rPr>
          <w:rFonts w:ascii="宋体" w:hAnsi="宋体" w:cs="仿宋_GB2312"/>
          <w:sz w:val="30"/>
          <w:szCs w:val="30"/>
        </w:rPr>
      </w:pPr>
    </w:p>
    <w:p>
      <w:pPr>
        <w:pStyle w:val="5"/>
        <w:rPr>
          <w:rFonts w:ascii="宋体" w:hAnsi="宋体" w:cs="仿宋_GB2312"/>
          <w:sz w:val="30"/>
          <w:szCs w:val="30"/>
        </w:rPr>
      </w:pPr>
    </w:p>
    <w:p>
      <w:pPr>
        <w:pStyle w:val="5"/>
        <w:rPr>
          <w:rFonts w:ascii="宋体" w:hAnsi="宋体" w:cs="仿宋_GB2312"/>
          <w:sz w:val="30"/>
          <w:szCs w:val="30"/>
        </w:rPr>
      </w:pPr>
    </w:p>
    <w:p>
      <w:pPr>
        <w:pStyle w:val="5"/>
        <w:rPr>
          <w:rFonts w:ascii="宋体" w:hAnsi="宋体" w:cs="仿宋_GB2312"/>
          <w:sz w:val="30"/>
          <w:szCs w:val="30"/>
        </w:rPr>
      </w:pPr>
      <w:r>
        <w:rPr>
          <w:rFonts w:hint="eastAsia" w:ascii="宋体" w:hAnsi="宋体" w:cs="仿宋_GB2312"/>
          <w:sz w:val="30"/>
          <w:szCs w:val="30"/>
        </w:rPr>
        <w:t>（3包）</w:t>
      </w:r>
    </w:p>
    <w:tbl>
      <w:tblPr>
        <w:tblStyle w:val="14"/>
        <w:tblW w:w="9621" w:type="dxa"/>
        <w:jc w:val="center"/>
        <w:tblLayout w:type="fixed"/>
        <w:tblCellMar>
          <w:top w:w="0" w:type="dxa"/>
          <w:left w:w="108" w:type="dxa"/>
          <w:bottom w:w="0" w:type="dxa"/>
          <w:right w:w="108" w:type="dxa"/>
        </w:tblCellMar>
      </w:tblPr>
      <w:tblGrid>
        <w:gridCol w:w="468"/>
        <w:gridCol w:w="1204"/>
        <w:gridCol w:w="4764"/>
        <w:gridCol w:w="3185"/>
      </w:tblGrid>
      <w:tr>
        <w:tblPrEx>
          <w:tblCellMar>
            <w:top w:w="0" w:type="dxa"/>
            <w:left w:w="108" w:type="dxa"/>
            <w:bottom w:w="0" w:type="dxa"/>
            <w:right w:w="108" w:type="dxa"/>
          </w:tblCellMar>
        </w:tblPrEx>
        <w:trPr>
          <w:trHeight w:val="560" w:hRule="atLeast"/>
          <w:jc w:val="center"/>
        </w:trPr>
        <w:tc>
          <w:tcPr>
            <w:tcW w:w="9621"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广汽传祺GS4 PLUS 390T AT星系参数</w:t>
            </w:r>
          </w:p>
        </w:tc>
      </w:tr>
      <w:tr>
        <w:tblPrEx>
          <w:tblCellMar>
            <w:top w:w="0" w:type="dxa"/>
            <w:left w:w="108" w:type="dxa"/>
            <w:bottom w:w="0" w:type="dxa"/>
            <w:right w:w="108" w:type="dxa"/>
          </w:tblCellMar>
        </w:tblPrEx>
        <w:trPr>
          <w:trHeight w:val="560" w:hRule="atLeast"/>
          <w:jc w:val="center"/>
        </w:trPr>
        <w:tc>
          <w:tcPr>
            <w:tcW w:w="468" w:type="dxa"/>
            <w:vMerge w:val="restart"/>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204" w:type="dxa"/>
            <w:vMerge w:val="restart"/>
            <w:tcBorders>
              <w:top w:val="nil"/>
              <w:left w:val="nil"/>
              <w:right w:val="single" w:color="000000" w:sz="4" w:space="0"/>
            </w:tcBorders>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基础参数</w:t>
            </w:r>
          </w:p>
          <w:p>
            <w:pPr>
              <w:widowControl/>
              <w:jc w:val="center"/>
              <w:textAlignment w:val="center"/>
              <w:rPr>
                <w:rFonts w:ascii="宋体" w:hAnsi="宋体" w:eastAsia="宋体" w:cs="宋体"/>
                <w:color w:val="000000"/>
                <w:sz w:val="18"/>
                <w:szCs w:val="18"/>
              </w:rPr>
            </w:pPr>
          </w:p>
        </w:tc>
        <w:tc>
          <w:tcPr>
            <w:tcW w:w="4764"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发动机</w:t>
            </w:r>
          </w:p>
        </w:tc>
        <w:tc>
          <w:tcPr>
            <w:tcW w:w="3185"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传祺第三代390T钜浪动力发动机</w:t>
            </w:r>
          </w:p>
        </w:tc>
      </w:tr>
      <w:tr>
        <w:tblPrEx>
          <w:tblCellMar>
            <w:top w:w="0" w:type="dxa"/>
            <w:left w:w="108" w:type="dxa"/>
            <w:bottom w:w="0" w:type="dxa"/>
            <w:right w:w="108" w:type="dxa"/>
          </w:tblCellMar>
        </w:tblPrEx>
        <w:trPr>
          <w:trHeight w:val="560" w:hRule="atLeast"/>
          <w:jc w:val="center"/>
        </w:trPr>
        <w:tc>
          <w:tcPr>
            <w:tcW w:w="468" w:type="dxa"/>
            <w:vMerge w:val="continue"/>
            <w:tcBorders>
              <w:top w:val="nil"/>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left w:val="nil"/>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变速箱</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爱信6AT自动变速箱</w:t>
            </w:r>
          </w:p>
        </w:tc>
      </w:tr>
      <w:tr>
        <w:tblPrEx>
          <w:tblCellMar>
            <w:top w:w="0" w:type="dxa"/>
            <w:left w:w="108" w:type="dxa"/>
            <w:bottom w:w="0" w:type="dxa"/>
            <w:right w:w="108" w:type="dxa"/>
          </w:tblCellMar>
        </w:tblPrEx>
        <w:trPr>
          <w:trHeight w:val="560" w:hRule="atLeast"/>
          <w:jc w:val="center"/>
        </w:trPr>
        <w:tc>
          <w:tcPr>
            <w:tcW w:w="468" w:type="dxa"/>
            <w:vMerge w:val="continue"/>
            <w:tcBorders>
              <w:top w:val="nil"/>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left w:val="nil"/>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长*宽*高（mm）</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4710x1885x1726</w:t>
            </w:r>
          </w:p>
        </w:tc>
      </w:tr>
      <w:tr>
        <w:tblPrEx>
          <w:tblCellMar>
            <w:top w:w="0" w:type="dxa"/>
            <w:left w:w="108" w:type="dxa"/>
            <w:bottom w:w="0" w:type="dxa"/>
            <w:right w:w="108" w:type="dxa"/>
          </w:tblCellMar>
        </w:tblPrEx>
        <w:trPr>
          <w:trHeight w:val="560" w:hRule="atLeast"/>
          <w:jc w:val="center"/>
        </w:trPr>
        <w:tc>
          <w:tcPr>
            <w:tcW w:w="468" w:type="dxa"/>
            <w:vMerge w:val="continue"/>
            <w:tcBorders>
              <w:top w:val="nil"/>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left w:val="nil"/>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轴距（mm）</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2710</w:t>
            </w:r>
          </w:p>
        </w:tc>
      </w:tr>
      <w:tr>
        <w:tblPrEx>
          <w:tblCellMar>
            <w:top w:w="0" w:type="dxa"/>
            <w:left w:w="108" w:type="dxa"/>
            <w:bottom w:w="0" w:type="dxa"/>
            <w:right w:w="108" w:type="dxa"/>
          </w:tblCellMar>
        </w:tblPrEx>
        <w:trPr>
          <w:trHeight w:val="560" w:hRule="atLeast"/>
          <w:jc w:val="center"/>
        </w:trPr>
        <w:tc>
          <w:tcPr>
            <w:tcW w:w="468" w:type="dxa"/>
            <w:vMerge w:val="continue"/>
            <w:tcBorders>
              <w:top w:val="nil"/>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left w:val="nil"/>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油箱容积（L）</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55</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left w:val="nil"/>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车门（个）</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5</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left w:val="nil"/>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座位数（个）</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5</w:t>
            </w:r>
          </w:p>
        </w:tc>
      </w:tr>
      <w:tr>
        <w:tblPrEx>
          <w:tblCellMar>
            <w:top w:w="0" w:type="dxa"/>
            <w:left w:w="108" w:type="dxa"/>
            <w:bottom w:w="0" w:type="dxa"/>
            <w:right w:w="108" w:type="dxa"/>
          </w:tblCellMar>
        </w:tblPrEx>
        <w:trPr>
          <w:trHeight w:val="560" w:hRule="atLeast"/>
          <w:jc w:val="center"/>
        </w:trPr>
        <w:tc>
          <w:tcPr>
            <w:tcW w:w="46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1204" w:type="dxa"/>
            <w:vMerge w:val="restar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底盘</w:t>
            </w: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驱动方式</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前置两驱</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前悬架类型</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前麦弗逊式独立悬挂（含前副车架+前防倾杆）</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后悬架类型</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后多连杆独立悬挂（含后副车架+后防倾杆）</w:t>
            </w:r>
          </w:p>
        </w:tc>
      </w:tr>
      <w:tr>
        <w:tblPrEx>
          <w:tblCellMar>
            <w:top w:w="0" w:type="dxa"/>
            <w:left w:w="108" w:type="dxa"/>
            <w:bottom w:w="0" w:type="dxa"/>
            <w:right w:w="108" w:type="dxa"/>
          </w:tblCellMar>
        </w:tblPrEx>
        <w:trPr>
          <w:trHeight w:val="560" w:hRule="atLeast"/>
          <w:jc w:val="center"/>
        </w:trPr>
        <w:tc>
          <w:tcPr>
            <w:tcW w:w="46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c>
          <w:tcPr>
            <w:tcW w:w="1204" w:type="dxa"/>
            <w:vMerge w:val="restar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车轮制动</w:t>
            </w: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前制动类型</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前通风盘式</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后制动类型</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后盘式</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前轮胎规格</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235/50 R19</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后轮胎规格</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235/50 R19</w:t>
            </w:r>
          </w:p>
        </w:tc>
      </w:tr>
      <w:tr>
        <w:tblPrEx>
          <w:tblCellMar>
            <w:top w:w="0" w:type="dxa"/>
            <w:left w:w="108" w:type="dxa"/>
            <w:bottom w:w="0" w:type="dxa"/>
            <w:right w:w="108" w:type="dxa"/>
          </w:tblCellMar>
        </w:tblPrEx>
        <w:trPr>
          <w:trHeight w:val="560" w:hRule="atLeast"/>
          <w:jc w:val="center"/>
        </w:trPr>
        <w:tc>
          <w:tcPr>
            <w:tcW w:w="46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1204" w:type="dxa"/>
            <w:vMerge w:val="restar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发动机</w:t>
            </w: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发动机类型</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汽油机</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排量（mL）</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1991</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排量（L）</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2.0</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进气形式</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涡轮增压</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额定功率（ps/rpm）</w:t>
            </w:r>
          </w:p>
          <w:p>
            <w:pPr>
              <w:widowControl/>
              <w:jc w:val="center"/>
              <w:textAlignment w:val="center"/>
              <w:rPr>
                <w:rFonts w:ascii="宋体" w:hAnsi="宋体" w:eastAsia="宋体" w:cs="宋体"/>
                <w:color w:val="000000"/>
                <w:sz w:val="18"/>
                <w:szCs w:val="18"/>
              </w:rPr>
            </w:pP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185</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最大扭矩（N.m/rpm）</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390</w:t>
            </w:r>
          </w:p>
        </w:tc>
      </w:tr>
      <w:tr>
        <w:tblPrEx>
          <w:tblCellMar>
            <w:top w:w="0" w:type="dxa"/>
            <w:left w:w="108" w:type="dxa"/>
            <w:bottom w:w="0" w:type="dxa"/>
            <w:right w:w="108" w:type="dxa"/>
          </w:tblCellMar>
        </w:tblPrEx>
        <w:trPr>
          <w:trHeight w:val="560" w:hRule="atLeast"/>
          <w:jc w:val="center"/>
        </w:trPr>
        <w:tc>
          <w:tcPr>
            <w:tcW w:w="46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1204" w:type="dxa"/>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主/被动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安全装备</w:t>
            </w: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主副驾驶座安全气囊</w:t>
            </w:r>
          </w:p>
        </w:tc>
        <w:tc>
          <w:tcPr>
            <w:tcW w:w="3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副●</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前后雷达</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ABS+EBD+BAS</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ESP+HHC</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EPS电动助力转向</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高清倒车影像</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r>
      <w:tr>
        <w:tblPrEx>
          <w:tblCellMar>
            <w:top w:w="0" w:type="dxa"/>
            <w:left w:w="108" w:type="dxa"/>
            <w:bottom w:w="0" w:type="dxa"/>
            <w:right w:w="108" w:type="dxa"/>
          </w:tblCellMar>
        </w:tblPrEx>
        <w:trPr>
          <w:trHeight w:val="560" w:hRule="atLeast"/>
          <w:jc w:val="center"/>
        </w:trPr>
        <w:tc>
          <w:tcPr>
            <w:tcW w:w="4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喷制式车样</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bl>
    <w:p>
      <w:pPr>
        <w:pStyle w:val="5"/>
        <w:rPr>
          <w:rFonts w:ascii="宋体" w:hAnsi="宋体" w:cs="仿宋_GB2312"/>
          <w:sz w:val="30"/>
          <w:szCs w:val="30"/>
        </w:rPr>
      </w:pPr>
    </w:p>
    <w:p>
      <w:pPr>
        <w:pStyle w:val="12"/>
        <w:spacing w:line="360" w:lineRule="auto"/>
        <w:jc w:val="both"/>
        <w:rPr>
          <w:rFonts w:ascii="仿宋" w:hAnsi="仿宋" w:eastAsia="仿宋" w:cs="仿宋"/>
          <w:b/>
          <w:bCs/>
          <w:sz w:val="30"/>
          <w:szCs w:val="30"/>
        </w:rPr>
      </w:pPr>
    </w:p>
    <w:p>
      <w:pPr>
        <w:pStyle w:val="12"/>
        <w:spacing w:line="360" w:lineRule="auto"/>
        <w:jc w:val="both"/>
        <w:rPr>
          <w:rFonts w:ascii="仿宋" w:hAnsi="仿宋" w:eastAsia="仿宋" w:cs="仿宋"/>
          <w:b/>
          <w:bCs/>
          <w:sz w:val="30"/>
          <w:szCs w:val="30"/>
        </w:rPr>
      </w:pPr>
    </w:p>
    <w:p>
      <w:pPr>
        <w:pStyle w:val="12"/>
        <w:spacing w:line="360" w:lineRule="auto"/>
        <w:jc w:val="both"/>
        <w:rPr>
          <w:rFonts w:ascii="仿宋" w:hAnsi="仿宋" w:eastAsia="仿宋" w:cs="仿宋"/>
          <w:b/>
          <w:bCs/>
          <w:sz w:val="30"/>
          <w:szCs w:val="30"/>
        </w:rPr>
      </w:pPr>
    </w:p>
    <w:p>
      <w:pPr>
        <w:pStyle w:val="12"/>
        <w:spacing w:line="360" w:lineRule="auto"/>
        <w:jc w:val="both"/>
        <w:rPr>
          <w:rFonts w:ascii="仿宋" w:hAnsi="仿宋" w:eastAsia="仿宋" w:cs="仿宋"/>
          <w:b/>
          <w:bCs/>
          <w:sz w:val="30"/>
          <w:szCs w:val="30"/>
        </w:rPr>
      </w:pPr>
      <w:r>
        <w:rPr>
          <w:rFonts w:hint="eastAsia" w:ascii="仿宋" w:hAnsi="仿宋" w:eastAsia="仿宋" w:cs="仿宋"/>
          <w:b/>
          <w:bCs/>
          <w:sz w:val="30"/>
          <w:szCs w:val="30"/>
        </w:rPr>
        <w:t>采购清单</w:t>
      </w:r>
    </w:p>
    <w:p>
      <w:pPr>
        <w:pStyle w:val="12"/>
        <w:spacing w:line="360" w:lineRule="auto"/>
        <w:jc w:val="both"/>
        <w:rPr>
          <w:rFonts w:ascii="仿宋" w:hAnsi="仿宋" w:eastAsia="仿宋" w:cs="仿宋"/>
          <w:b/>
          <w:bCs/>
          <w:sz w:val="30"/>
          <w:szCs w:val="30"/>
        </w:rPr>
      </w:pPr>
    </w:p>
    <w:tbl>
      <w:tblPr>
        <w:tblStyle w:val="14"/>
        <w:tblpPr w:leftFromText="180" w:rightFromText="180" w:vertAnchor="text" w:horzAnchor="page" w:tblpX="1570" w:tblpY="67"/>
        <w:tblOverlap w:val="never"/>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260"/>
        <w:gridCol w:w="2611"/>
        <w:gridCol w:w="824"/>
        <w:gridCol w:w="1001"/>
        <w:gridCol w:w="1255"/>
        <w:gridCol w:w="905"/>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480" w:type="dxa"/>
            <w:vAlign w:val="center"/>
          </w:tcPr>
          <w:p>
            <w:pPr>
              <w:jc w:val="center"/>
              <w:rPr>
                <w:sz w:val="30"/>
                <w:szCs w:val="30"/>
              </w:rPr>
            </w:pPr>
            <w:r>
              <w:rPr>
                <w:rFonts w:hint="eastAsia"/>
                <w:sz w:val="30"/>
                <w:szCs w:val="30"/>
              </w:rPr>
              <w:t>包</w:t>
            </w:r>
          </w:p>
        </w:tc>
        <w:tc>
          <w:tcPr>
            <w:tcW w:w="1260" w:type="dxa"/>
            <w:vAlign w:val="center"/>
          </w:tcPr>
          <w:p>
            <w:pPr>
              <w:jc w:val="center"/>
              <w:rPr>
                <w:sz w:val="30"/>
                <w:szCs w:val="30"/>
              </w:rPr>
            </w:pPr>
            <w:r>
              <w:rPr>
                <w:rFonts w:hint="eastAsia"/>
                <w:sz w:val="30"/>
                <w:szCs w:val="30"/>
              </w:rPr>
              <w:t>名称</w:t>
            </w:r>
          </w:p>
        </w:tc>
        <w:tc>
          <w:tcPr>
            <w:tcW w:w="2611" w:type="dxa"/>
            <w:vAlign w:val="center"/>
          </w:tcPr>
          <w:p>
            <w:pPr>
              <w:jc w:val="center"/>
              <w:rPr>
                <w:sz w:val="30"/>
                <w:szCs w:val="30"/>
              </w:rPr>
            </w:pPr>
            <w:r>
              <w:rPr>
                <w:rFonts w:hint="eastAsia"/>
                <w:sz w:val="30"/>
                <w:szCs w:val="30"/>
              </w:rPr>
              <w:t>品牌型号</w:t>
            </w:r>
          </w:p>
        </w:tc>
        <w:tc>
          <w:tcPr>
            <w:tcW w:w="824" w:type="dxa"/>
            <w:vAlign w:val="center"/>
          </w:tcPr>
          <w:p>
            <w:pPr>
              <w:jc w:val="center"/>
              <w:rPr>
                <w:sz w:val="30"/>
                <w:szCs w:val="30"/>
              </w:rPr>
            </w:pPr>
            <w:r>
              <w:rPr>
                <w:rFonts w:hint="eastAsia"/>
                <w:sz w:val="30"/>
                <w:szCs w:val="30"/>
              </w:rPr>
              <w:t>单位</w:t>
            </w:r>
          </w:p>
        </w:tc>
        <w:tc>
          <w:tcPr>
            <w:tcW w:w="1001" w:type="dxa"/>
            <w:vAlign w:val="center"/>
          </w:tcPr>
          <w:p>
            <w:pPr>
              <w:jc w:val="center"/>
              <w:rPr>
                <w:sz w:val="30"/>
                <w:szCs w:val="30"/>
              </w:rPr>
            </w:pPr>
            <w:r>
              <w:rPr>
                <w:rFonts w:hint="eastAsia"/>
                <w:sz w:val="30"/>
                <w:szCs w:val="30"/>
              </w:rPr>
              <w:t>数量</w:t>
            </w:r>
          </w:p>
        </w:tc>
        <w:tc>
          <w:tcPr>
            <w:tcW w:w="1255" w:type="dxa"/>
            <w:vAlign w:val="center"/>
          </w:tcPr>
          <w:p>
            <w:pPr>
              <w:jc w:val="center"/>
              <w:rPr>
                <w:sz w:val="30"/>
                <w:szCs w:val="30"/>
              </w:rPr>
            </w:pPr>
            <w:r>
              <w:rPr>
                <w:rFonts w:hint="eastAsia"/>
                <w:sz w:val="30"/>
                <w:szCs w:val="30"/>
              </w:rPr>
              <w:t>颜色</w:t>
            </w:r>
          </w:p>
        </w:tc>
        <w:tc>
          <w:tcPr>
            <w:tcW w:w="905" w:type="dxa"/>
            <w:vAlign w:val="center"/>
          </w:tcPr>
          <w:p>
            <w:pPr>
              <w:jc w:val="center"/>
              <w:rPr>
                <w:sz w:val="30"/>
                <w:szCs w:val="30"/>
              </w:rPr>
            </w:pPr>
            <w:r>
              <w:rPr>
                <w:rFonts w:hint="eastAsia"/>
                <w:sz w:val="30"/>
                <w:szCs w:val="30"/>
              </w:rPr>
              <w:t>座位</w:t>
            </w:r>
          </w:p>
        </w:tc>
        <w:tc>
          <w:tcPr>
            <w:tcW w:w="1084" w:type="dxa"/>
            <w:vAlign w:val="center"/>
          </w:tcPr>
          <w:p>
            <w:pPr>
              <w:jc w:val="center"/>
              <w:rPr>
                <w:sz w:val="30"/>
                <w:szCs w:val="30"/>
              </w:rPr>
            </w:pPr>
            <w:r>
              <w:rPr>
                <w:rFonts w:hint="eastAsia"/>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480" w:type="dxa"/>
            <w:vAlign w:val="center"/>
          </w:tcPr>
          <w:p>
            <w:pPr>
              <w:spacing w:before="100" w:beforeAutospacing="1" w:after="100" w:afterAutospacing="1" w:line="360" w:lineRule="auto"/>
              <w:jc w:val="center"/>
              <w:rPr>
                <w:rFonts w:ascii="宋体" w:hAnsi="宋体" w:eastAsia="宋体" w:cs="宋体"/>
                <w:szCs w:val="21"/>
              </w:rPr>
            </w:pPr>
            <w:r>
              <w:rPr>
                <w:rFonts w:hint="eastAsia" w:ascii="宋体" w:hAnsi="宋体" w:eastAsia="宋体" w:cs="宋体"/>
                <w:szCs w:val="21"/>
              </w:rPr>
              <w:t>1</w:t>
            </w:r>
          </w:p>
        </w:tc>
        <w:tc>
          <w:tcPr>
            <w:tcW w:w="1260" w:type="dxa"/>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轿车</w:t>
            </w:r>
          </w:p>
        </w:tc>
        <w:tc>
          <w:tcPr>
            <w:tcW w:w="2611" w:type="dxa"/>
            <w:vAlign w:val="center"/>
          </w:tcPr>
          <w:p>
            <w:pPr>
              <w:widowControl/>
              <w:jc w:val="center"/>
              <w:textAlignment w:val="center"/>
              <w:rPr>
                <w:rFonts w:eastAsia="宋体"/>
                <w:snapToGrid w:val="0"/>
                <w:kern w:val="0"/>
                <w:szCs w:val="21"/>
              </w:rPr>
            </w:pPr>
            <w:r>
              <w:rPr>
                <w:rFonts w:hint="eastAsia" w:eastAsia="宋体"/>
                <w:snapToGrid w:val="0"/>
                <w:kern w:val="0"/>
                <w:szCs w:val="21"/>
              </w:rPr>
              <w:t>别克越行版</w:t>
            </w:r>
          </w:p>
        </w:tc>
        <w:tc>
          <w:tcPr>
            <w:tcW w:w="824" w:type="dxa"/>
            <w:vAlign w:val="center"/>
          </w:tcPr>
          <w:p>
            <w:pPr>
              <w:jc w:val="center"/>
              <w:rPr>
                <w:rFonts w:ascii="宋体" w:hAnsi="宋体" w:eastAsia="宋体" w:cs="宋体"/>
                <w:szCs w:val="21"/>
              </w:rPr>
            </w:pPr>
            <w:r>
              <w:rPr>
                <w:rFonts w:hint="eastAsia" w:ascii="宋体" w:hAnsi="宋体" w:eastAsia="宋体" w:cs="宋体"/>
                <w:szCs w:val="21"/>
              </w:rPr>
              <w:t>辆</w:t>
            </w:r>
          </w:p>
        </w:tc>
        <w:tc>
          <w:tcPr>
            <w:tcW w:w="1001" w:type="dxa"/>
            <w:vAlign w:val="center"/>
          </w:tcPr>
          <w:p>
            <w:pPr>
              <w:jc w:val="center"/>
              <w:rPr>
                <w:rFonts w:ascii="宋体" w:hAnsi="宋体" w:eastAsia="宋体" w:cs="宋体"/>
                <w:szCs w:val="21"/>
              </w:rPr>
            </w:pPr>
            <w:r>
              <w:rPr>
                <w:rFonts w:hint="eastAsia" w:ascii="宋体" w:hAnsi="宋体" w:eastAsia="宋体" w:cs="宋体"/>
                <w:szCs w:val="21"/>
              </w:rPr>
              <w:t>1</w:t>
            </w:r>
          </w:p>
        </w:tc>
        <w:tc>
          <w:tcPr>
            <w:tcW w:w="1255" w:type="dxa"/>
            <w:vAlign w:val="center"/>
          </w:tcPr>
          <w:p>
            <w:pPr>
              <w:spacing w:before="100" w:beforeAutospacing="1" w:after="100" w:afterAutospacing="1" w:line="360" w:lineRule="auto"/>
              <w:jc w:val="center"/>
              <w:rPr>
                <w:rFonts w:ascii="宋体" w:hAnsi="宋体" w:eastAsia="宋体" w:cs="宋体"/>
                <w:szCs w:val="21"/>
              </w:rPr>
            </w:pPr>
            <w:r>
              <w:rPr>
                <w:rFonts w:hint="eastAsia" w:ascii="宋体" w:hAnsi="宋体" w:eastAsia="宋体" w:cs="宋体"/>
                <w:szCs w:val="21"/>
              </w:rPr>
              <w:t>黑色</w:t>
            </w:r>
          </w:p>
        </w:tc>
        <w:tc>
          <w:tcPr>
            <w:tcW w:w="905" w:type="dxa"/>
            <w:vAlign w:val="center"/>
          </w:tcPr>
          <w:p>
            <w:pPr>
              <w:jc w:val="center"/>
              <w:rPr>
                <w:rFonts w:ascii="宋体" w:hAnsi="宋体" w:eastAsia="宋体" w:cs="宋体"/>
                <w:szCs w:val="21"/>
              </w:rPr>
            </w:pPr>
            <w:r>
              <w:rPr>
                <w:rFonts w:hint="eastAsia" w:ascii="宋体" w:hAnsi="宋体" w:eastAsia="宋体" w:cs="宋体"/>
                <w:szCs w:val="21"/>
              </w:rPr>
              <w:t>5</w:t>
            </w:r>
          </w:p>
        </w:tc>
        <w:tc>
          <w:tcPr>
            <w:tcW w:w="1084"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480" w:type="dxa"/>
            <w:vAlign w:val="center"/>
          </w:tcPr>
          <w:p>
            <w:pPr>
              <w:spacing w:before="100" w:beforeAutospacing="1" w:after="100" w:afterAutospacing="1" w:line="360" w:lineRule="auto"/>
              <w:jc w:val="center"/>
              <w:rPr>
                <w:rFonts w:ascii="宋体" w:hAnsi="宋体" w:eastAsia="宋体" w:cs="宋体"/>
                <w:szCs w:val="21"/>
              </w:rPr>
            </w:pPr>
            <w:r>
              <w:rPr>
                <w:rFonts w:hint="eastAsia" w:ascii="宋体" w:hAnsi="宋体" w:eastAsia="宋体" w:cs="宋体"/>
                <w:szCs w:val="21"/>
              </w:rPr>
              <w:t>2</w:t>
            </w:r>
          </w:p>
        </w:tc>
        <w:tc>
          <w:tcPr>
            <w:tcW w:w="1260" w:type="dxa"/>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中型客车</w:t>
            </w:r>
          </w:p>
        </w:tc>
        <w:tc>
          <w:tcPr>
            <w:tcW w:w="2611" w:type="dxa"/>
            <w:vAlign w:val="center"/>
          </w:tcPr>
          <w:p>
            <w:pPr>
              <w:widowControl/>
              <w:jc w:val="center"/>
              <w:textAlignment w:val="center"/>
              <w:rPr>
                <w:rFonts w:eastAsia="宋体"/>
                <w:snapToGrid w:val="0"/>
                <w:kern w:val="0"/>
                <w:szCs w:val="21"/>
              </w:rPr>
            </w:pPr>
            <w:r>
              <w:rPr>
                <w:rFonts w:hint="eastAsia" w:eastAsia="宋体"/>
                <w:snapToGrid w:val="0"/>
                <w:kern w:val="0"/>
                <w:szCs w:val="21"/>
              </w:rPr>
              <w:t>江铃福顺豪华型</w:t>
            </w:r>
          </w:p>
        </w:tc>
        <w:tc>
          <w:tcPr>
            <w:tcW w:w="824" w:type="dxa"/>
            <w:vAlign w:val="center"/>
          </w:tcPr>
          <w:p>
            <w:pPr>
              <w:jc w:val="center"/>
              <w:rPr>
                <w:rFonts w:ascii="宋体" w:hAnsi="宋体" w:eastAsia="宋体" w:cs="宋体"/>
                <w:szCs w:val="21"/>
              </w:rPr>
            </w:pPr>
            <w:r>
              <w:rPr>
                <w:rFonts w:hint="eastAsia" w:ascii="宋体" w:hAnsi="宋体" w:eastAsia="宋体" w:cs="宋体"/>
                <w:szCs w:val="21"/>
              </w:rPr>
              <w:t>辆</w:t>
            </w:r>
          </w:p>
        </w:tc>
        <w:tc>
          <w:tcPr>
            <w:tcW w:w="1001" w:type="dxa"/>
            <w:vAlign w:val="center"/>
          </w:tcPr>
          <w:p>
            <w:pPr>
              <w:jc w:val="center"/>
              <w:rPr>
                <w:rFonts w:ascii="宋体" w:hAnsi="宋体" w:eastAsia="宋体" w:cs="宋体"/>
                <w:szCs w:val="21"/>
              </w:rPr>
            </w:pPr>
            <w:r>
              <w:rPr>
                <w:rFonts w:hint="eastAsia" w:ascii="宋体" w:hAnsi="宋体" w:eastAsia="宋体" w:cs="宋体"/>
                <w:szCs w:val="21"/>
              </w:rPr>
              <w:t>1</w:t>
            </w:r>
          </w:p>
        </w:tc>
        <w:tc>
          <w:tcPr>
            <w:tcW w:w="1255" w:type="dxa"/>
            <w:vAlign w:val="center"/>
          </w:tcPr>
          <w:p>
            <w:pPr>
              <w:spacing w:before="100" w:beforeAutospacing="1" w:after="100" w:afterAutospacing="1" w:line="360" w:lineRule="auto"/>
              <w:jc w:val="center"/>
              <w:rPr>
                <w:rFonts w:ascii="宋体" w:hAnsi="宋体" w:eastAsia="宋体" w:cs="宋体"/>
                <w:szCs w:val="21"/>
              </w:rPr>
            </w:pPr>
            <w:r>
              <w:rPr>
                <w:rFonts w:hint="eastAsia" w:ascii="宋体" w:hAnsi="宋体" w:eastAsia="宋体" w:cs="宋体"/>
                <w:szCs w:val="21"/>
              </w:rPr>
              <w:t>银色</w:t>
            </w:r>
          </w:p>
        </w:tc>
        <w:tc>
          <w:tcPr>
            <w:tcW w:w="905" w:type="dxa"/>
            <w:vAlign w:val="center"/>
          </w:tcPr>
          <w:p>
            <w:pPr>
              <w:jc w:val="center"/>
              <w:rPr>
                <w:rFonts w:ascii="宋体" w:hAnsi="宋体" w:eastAsia="宋体" w:cs="宋体"/>
                <w:szCs w:val="21"/>
              </w:rPr>
            </w:pPr>
            <w:r>
              <w:rPr>
                <w:rFonts w:hint="eastAsia" w:ascii="宋体" w:hAnsi="宋体" w:eastAsia="宋体" w:cs="宋体"/>
                <w:szCs w:val="21"/>
              </w:rPr>
              <w:t>15</w:t>
            </w:r>
          </w:p>
        </w:tc>
        <w:tc>
          <w:tcPr>
            <w:tcW w:w="1084"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480" w:type="dxa"/>
            <w:vAlign w:val="center"/>
          </w:tcPr>
          <w:p>
            <w:pPr>
              <w:spacing w:before="100" w:beforeAutospacing="1" w:after="100" w:afterAutospacing="1" w:line="360" w:lineRule="auto"/>
              <w:jc w:val="center"/>
              <w:rPr>
                <w:rFonts w:ascii="宋体" w:hAnsi="宋体" w:eastAsia="宋体" w:cs="宋体"/>
                <w:szCs w:val="21"/>
              </w:rPr>
            </w:pPr>
            <w:r>
              <w:rPr>
                <w:rFonts w:hint="eastAsia" w:ascii="宋体" w:hAnsi="宋体" w:eastAsia="宋体" w:cs="宋体"/>
                <w:szCs w:val="21"/>
              </w:rPr>
              <w:t>3</w:t>
            </w:r>
          </w:p>
        </w:tc>
        <w:tc>
          <w:tcPr>
            <w:tcW w:w="1260" w:type="dxa"/>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越野车</w:t>
            </w:r>
          </w:p>
        </w:tc>
        <w:tc>
          <w:tcPr>
            <w:tcW w:w="2611" w:type="dxa"/>
            <w:vAlign w:val="center"/>
          </w:tcPr>
          <w:p>
            <w:pPr>
              <w:widowControl/>
              <w:jc w:val="center"/>
              <w:textAlignment w:val="center"/>
              <w:rPr>
                <w:rFonts w:eastAsia="宋体"/>
                <w:snapToGrid w:val="0"/>
                <w:kern w:val="0"/>
                <w:szCs w:val="21"/>
              </w:rPr>
            </w:pPr>
            <w:r>
              <w:rPr>
                <w:rFonts w:hint="eastAsia" w:eastAsia="宋体"/>
                <w:snapToGrid w:val="0"/>
                <w:kern w:val="0"/>
                <w:szCs w:val="21"/>
              </w:rPr>
              <w:t>广汽传祺GS4 PLUS 390T AT星系</w:t>
            </w:r>
          </w:p>
        </w:tc>
        <w:tc>
          <w:tcPr>
            <w:tcW w:w="824" w:type="dxa"/>
            <w:vAlign w:val="center"/>
          </w:tcPr>
          <w:p>
            <w:pPr>
              <w:jc w:val="center"/>
              <w:rPr>
                <w:rFonts w:ascii="宋体" w:hAnsi="宋体" w:eastAsia="宋体" w:cs="宋体"/>
                <w:szCs w:val="21"/>
              </w:rPr>
            </w:pPr>
            <w:r>
              <w:rPr>
                <w:rFonts w:hint="eastAsia" w:ascii="宋体" w:hAnsi="宋体" w:eastAsia="宋体" w:cs="宋体"/>
                <w:szCs w:val="21"/>
              </w:rPr>
              <w:t>辆</w:t>
            </w:r>
          </w:p>
        </w:tc>
        <w:tc>
          <w:tcPr>
            <w:tcW w:w="1001" w:type="dxa"/>
            <w:vAlign w:val="center"/>
          </w:tcPr>
          <w:p>
            <w:pPr>
              <w:jc w:val="center"/>
              <w:rPr>
                <w:rFonts w:ascii="宋体" w:hAnsi="宋体" w:eastAsia="宋体" w:cs="宋体"/>
                <w:szCs w:val="21"/>
              </w:rPr>
            </w:pPr>
            <w:r>
              <w:rPr>
                <w:rFonts w:hint="eastAsia" w:ascii="宋体" w:hAnsi="宋体" w:eastAsia="宋体" w:cs="宋体"/>
                <w:szCs w:val="21"/>
              </w:rPr>
              <w:t>2</w:t>
            </w:r>
          </w:p>
        </w:tc>
        <w:tc>
          <w:tcPr>
            <w:tcW w:w="1255" w:type="dxa"/>
            <w:vAlign w:val="center"/>
          </w:tcPr>
          <w:p>
            <w:pPr>
              <w:spacing w:before="100" w:beforeAutospacing="1" w:after="100" w:afterAutospacing="1" w:line="360" w:lineRule="auto"/>
              <w:jc w:val="center"/>
              <w:rPr>
                <w:rFonts w:hint="eastAsia" w:ascii="宋体" w:hAnsi="宋体" w:eastAsia="宋体" w:cs="宋体"/>
                <w:szCs w:val="21"/>
                <w:lang w:eastAsia="zh-CN"/>
              </w:rPr>
            </w:pPr>
            <w:r>
              <w:rPr>
                <w:rFonts w:hint="eastAsia" w:ascii="宋体" w:hAnsi="宋体" w:eastAsia="宋体" w:cs="宋体"/>
                <w:szCs w:val="21"/>
              </w:rPr>
              <w:t>白色</w:t>
            </w:r>
            <w:r>
              <w:rPr>
                <w:rFonts w:hint="eastAsia" w:ascii="宋体" w:hAnsi="宋体" w:eastAsia="宋体" w:cs="宋体"/>
                <w:szCs w:val="21"/>
                <w:lang w:eastAsia="zh-CN"/>
              </w:rPr>
              <w:t>（</w:t>
            </w:r>
            <w:r>
              <w:rPr>
                <w:rFonts w:hint="eastAsia" w:ascii="宋体" w:hAnsi="宋体" w:eastAsia="宋体" w:cs="宋体"/>
                <w:szCs w:val="21"/>
                <w:lang w:val="en-US" w:eastAsia="zh-CN"/>
              </w:rPr>
              <w:t>制式车样</w:t>
            </w:r>
            <w:r>
              <w:rPr>
                <w:rFonts w:hint="eastAsia" w:ascii="宋体" w:hAnsi="宋体" w:eastAsia="宋体" w:cs="宋体"/>
                <w:szCs w:val="21"/>
                <w:lang w:eastAsia="zh-CN"/>
              </w:rPr>
              <w:t>）</w:t>
            </w:r>
          </w:p>
        </w:tc>
        <w:tc>
          <w:tcPr>
            <w:tcW w:w="905" w:type="dxa"/>
            <w:vAlign w:val="center"/>
          </w:tcPr>
          <w:p>
            <w:pPr>
              <w:jc w:val="center"/>
              <w:rPr>
                <w:rFonts w:ascii="宋体" w:hAnsi="宋体" w:eastAsia="宋体" w:cs="宋体"/>
                <w:szCs w:val="21"/>
              </w:rPr>
            </w:pPr>
            <w:r>
              <w:rPr>
                <w:rFonts w:hint="eastAsia" w:ascii="宋体" w:hAnsi="宋体" w:eastAsia="宋体" w:cs="宋体"/>
                <w:szCs w:val="21"/>
              </w:rPr>
              <w:t>5</w:t>
            </w:r>
          </w:p>
        </w:tc>
        <w:tc>
          <w:tcPr>
            <w:tcW w:w="1084" w:type="dxa"/>
            <w:vAlign w:val="center"/>
          </w:tcPr>
          <w:p>
            <w:pPr>
              <w:jc w:val="center"/>
              <w:rPr>
                <w:rFonts w:ascii="宋体" w:hAnsi="宋体" w:eastAsia="宋体" w:cs="宋体"/>
                <w:szCs w:val="21"/>
              </w:rPr>
            </w:pPr>
          </w:p>
        </w:tc>
      </w:tr>
    </w:tbl>
    <w:p>
      <w:pPr>
        <w:pStyle w:val="12"/>
        <w:spacing w:line="360" w:lineRule="auto"/>
        <w:jc w:val="both"/>
        <w:rPr>
          <w:rFonts w:ascii="仿宋" w:hAnsi="仿宋" w:eastAsia="仿宋" w:cs="仿宋"/>
          <w:b/>
          <w:bCs/>
          <w:sz w:val="30"/>
          <w:szCs w:val="30"/>
        </w:rPr>
      </w:pPr>
    </w:p>
    <w:p>
      <w:pPr>
        <w:pStyle w:val="5"/>
        <w:rPr>
          <w:rFonts w:ascii="宋体" w:hAnsi="宋体" w:eastAsia="宋体" w:cs="宋体"/>
          <w:b/>
          <w:bCs/>
          <w:szCs w:val="21"/>
        </w:rPr>
      </w:pPr>
      <w:bookmarkStart w:id="92" w:name="_Toc9834_WPSOffice_Level1"/>
    </w:p>
    <w:p>
      <w:pPr>
        <w:pStyle w:val="5"/>
        <w:rPr>
          <w:rFonts w:ascii="宋体" w:hAnsi="宋体" w:eastAsia="宋体" w:cs="宋体"/>
          <w:b/>
          <w:bCs/>
          <w:szCs w:val="21"/>
        </w:rPr>
      </w:pPr>
    </w:p>
    <w:p>
      <w:pPr>
        <w:pStyle w:val="5"/>
        <w:rPr>
          <w:rFonts w:ascii="Times New Roman" w:hAnsi="Times New Roman" w:eastAsia="宋体" w:cs="Times New Roman"/>
          <w:b/>
          <w:bCs/>
          <w:sz w:val="36"/>
          <w:szCs w:val="36"/>
        </w:rPr>
      </w:pPr>
    </w:p>
    <w:p>
      <w:pPr>
        <w:pStyle w:val="5"/>
        <w:rPr>
          <w:rFonts w:ascii="Times New Roman" w:hAnsi="Times New Roman" w:eastAsia="宋体" w:cs="Times New Roman"/>
          <w:b/>
          <w:bCs/>
          <w:sz w:val="36"/>
          <w:szCs w:val="36"/>
        </w:rPr>
      </w:pPr>
    </w:p>
    <w:p>
      <w:pPr>
        <w:pStyle w:val="5"/>
        <w:rPr>
          <w:rFonts w:ascii="Times New Roman" w:hAnsi="Times New Roman" w:eastAsia="宋体" w:cs="Times New Roman"/>
          <w:b/>
          <w:bCs/>
          <w:sz w:val="36"/>
          <w:szCs w:val="36"/>
        </w:rPr>
      </w:pPr>
    </w:p>
    <w:p>
      <w:pPr>
        <w:pStyle w:val="5"/>
        <w:rPr>
          <w:rFonts w:ascii="Times New Roman" w:hAnsi="Times New Roman" w:eastAsia="宋体" w:cs="Times New Roman"/>
          <w:b/>
          <w:bCs/>
          <w:sz w:val="36"/>
          <w:szCs w:val="36"/>
        </w:rPr>
      </w:pPr>
    </w:p>
    <w:p>
      <w:pPr>
        <w:pStyle w:val="5"/>
        <w:rPr>
          <w:rFonts w:ascii="Times New Roman" w:hAnsi="Times New Roman" w:eastAsia="宋体" w:cs="Times New Roman"/>
          <w:b/>
          <w:bCs/>
          <w:sz w:val="36"/>
          <w:szCs w:val="36"/>
        </w:rPr>
      </w:pPr>
    </w:p>
    <w:p>
      <w:pPr>
        <w:pStyle w:val="5"/>
        <w:rPr>
          <w:rFonts w:ascii="Times New Roman" w:hAnsi="Times New Roman" w:eastAsia="宋体" w:cs="Times New Roman"/>
          <w:b/>
          <w:bCs/>
          <w:sz w:val="36"/>
          <w:szCs w:val="36"/>
        </w:rPr>
      </w:pPr>
    </w:p>
    <w:p>
      <w:pPr>
        <w:pStyle w:val="5"/>
        <w:rPr>
          <w:rFonts w:ascii="Times New Roman" w:hAnsi="Times New Roman" w:eastAsia="宋体" w:cs="Times New Roman"/>
          <w:b/>
          <w:bCs/>
          <w:sz w:val="36"/>
          <w:szCs w:val="36"/>
        </w:rPr>
      </w:pPr>
    </w:p>
    <w:p>
      <w:pPr>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 xml:space="preserve">第六章 </w:t>
      </w:r>
      <w:r>
        <w:rPr>
          <w:rFonts w:ascii="Times New Roman" w:hAnsi="Times New Roman" w:eastAsia="宋体" w:cs="Times New Roman"/>
          <w:b/>
          <w:bCs/>
          <w:sz w:val="36"/>
          <w:szCs w:val="36"/>
        </w:rPr>
        <w:t>响应文件格式</w:t>
      </w:r>
      <w:bookmarkEnd w:id="92"/>
    </w:p>
    <w:p>
      <w:pPr>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ascii="Times New Roman" w:hAnsi="Times New Roman" w:eastAsia="黑体" w:cs="Times New Roman"/>
          <w:sz w:val="28"/>
          <w:szCs w:val="28"/>
        </w:rPr>
        <w:t>(项目名称)</w:t>
      </w:r>
      <w:r>
        <w:rPr>
          <w:rFonts w:ascii="Times New Roman" w:hAnsi="Times New Roman" w:cs="Times New Roman"/>
          <w:sz w:val="28"/>
          <w:szCs w:val="28"/>
          <w:u w:val="single"/>
        </w:rPr>
        <w:t xml:space="preserve">     </w:t>
      </w:r>
      <w:r>
        <w:rPr>
          <w:rFonts w:ascii="Times New Roman" w:hAnsi="Times New Roman" w:eastAsia="黑体" w:cs="Times New Roman"/>
          <w:sz w:val="28"/>
          <w:szCs w:val="28"/>
        </w:rPr>
        <w:t>合同包询比</w:t>
      </w:r>
    </w:p>
    <w:p>
      <w:pPr>
        <w:spacing w:line="440" w:lineRule="exact"/>
        <w:rPr>
          <w:rFonts w:ascii="Times New Roman" w:hAnsi="Times New Roman" w:eastAsia="黑体" w:cs="Times New Roman"/>
          <w:sz w:val="20"/>
          <w:szCs w:val="20"/>
        </w:rPr>
      </w:pPr>
      <w:r>
        <w:rPr>
          <w:rFonts w:ascii="Times New Roman" w:hAnsi="Times New Roman" w:eastAsia="黑体" w:cs="Times New Roman"/>
          <w:sz w:val="20"/>
          <w:szCs w:val="20"/>
        </w:rPr>
        <w:t xml:space="preserve"> </w:t>
      </w: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93" w:name="_Toc1914_WPSOffice_Level1"/>
      <w:bookmarkStart w:id="94" w:name="_Toc17394_WPSOffice_Level1"/>
      <w:bookmarkStart w:id="95" w:name="_Toc5145_WPSOffice_Level1"/>
      <w:bookmarkStart w:id="96" w:name="_Toc27552_WPSOffice_Level1"/>
      <w:r>
        <w:rPr>
          <w:rFonts w:ascii="Times New Roman" w:hAnsi="Times New Roman" w:eastAsia="黑体" w:cs="Times New Roman"/>
          <w:sz w:val="50"/>
          <w:szCs w:val="50"/>
        </w:rPr>
        <w:t>响  应  文  件</w:t>
      </w:r>
      <w:bookmarkEnd w:id="93"/>
      <w:bookmarkEnd w:id="94"/>
      <w:bookmarkEnd w:id="95"/>
      <w:bookmarkEnd w:id="96"/>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97" w:name="_Toc25232_WPSOffice_Level2"/>
      <w:bookmarkStart w:id="98" w:name="_Toc5520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97"/>
      <w:bookmarkEnd w:id="98"/>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u w:val="single"/>
        </w:rPr>
        <w:t xml:space="preserve">     </w:t>
      </w:r>
      <w:bookmarkStart w:id="99" w:name="_Toc31577_WPSOffice_Level2"/>
      <w:bookmarkStart w:id="100" w:name="_Toc20076_WPSOffice_Level2"/>
      <w:r>
        <w:rPr>
          <w:rFonts w:ascii="Times New Roman" w:hAnsi="Times New Roman" w:eastAsia="黑体" w:cs="Times New Roman"/>
          <w:sz w:val="28"/>
          <w:szCs w:val="28"/>
        </w:rPr>
        <w:t>年</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月</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日</w:t>
      </w:r>
      <w:bookmarkEnd w:id="99"/>
      <w:bookmarkEnd w:id="100"/>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0"/>
          <w:szCs w:val="20"/>
        </w:rPr>
        <w:t xml:space="preserve"> </w:t>
      </w:r>
      <w:r>
        <w:rPr>
          <w:rFonts w:ascii="Times New Roman" w:hAnsi="Times New Roman" w:eastAsia="黑体" w:cs="Times New Roman"/>
          <w:sz w:val="20"/>
          <w:szCs w:val="20"/>
        </w:rPr>
        <w:br w:type="page"/>
      </w:r>
      <w:bookmarkStart w:id="101" w:name="_Toc21974_WPSOffice_Level2"/>
      <w:bookmarkStart w:id="102" w:name="_Toc22351_WPSOffice_Level2"/>
      <w:r>
        <w:rPr>
          <w:rFonts w:ascii="Times New Roman" w:hAnsi="Times New Roman" w:eastAsia="黑体" w:cs="Times New Roman"/>
          <w:sz w:val="28"/>
          <w:szCs w:val="28"/>
        </w:rPr>
        <w:t>目     录</w:t>
      </w:r>
      <w:bookmarkEnd w:id="101"/>
      <w:bookmarkEnd w:id="102"/>
    </w:p>
    <w:p>
      <w:pPr>
        <w:spacing w:line="440" w:lineRule="exact"/>
        <w:rPr>
          <w:rFonts w:ascii="Times New Roman" w:hAnsi="Times New Roman" w:eastAsia="黑体" w:cs="Times New Roman"/>
          <w:b/>
          <w:bCs/>
          <w:sz w:val="20"/>
          <w:szCs w:val="20"/>
        </w:rPr>
      </w:pPr>
    </w:p>
    <w:p>
      <w:pPr>
        <w:spacing w:line="560" w:lineRule="atLeast"/>
        <w:ind w:firstLine="420"/>
        <w:jc w:val="left"/>
        <w:rPr>
          <w:rFonts w:ascii="Times New Roman" w:hAnsi="Times New Roman" w:cs="Times New Roman"/>
          <w:b/>
          <w:bCs/>
        </w:rPr>
      </w:pPr>
      <w:r>
        <w:rPr>
          <w:rFonts w:hint="eastAsia" w:ascii="Times New Roman" w:hAnsi="Times New Roman" w:cs="Times New Roman"/>
          <w:b/>
          <w:bCs/>
        </w:rPr>
        <w:t>（1）</w:t>
      </w:r>
      <w:r>
        <w:rPr>
          <w:rFonts w:ascii="Times New Roman" w:hAnsi="Times New Roman" w:cs="Times New Roman"/>
          <w:b/>
          <w:bCs/>
        </w:rPr>
        <w:t>报价函</w:t>
      </w:r>
      <w:r>
        <w:rPr>
          <w:rFonts w:hint="eastAsia" w:ascii="Times New Roman" w:hAnsi="Times New Roman" w:cs="Times New Roman"/>
          <w:b/>
          <w:bCs/>
        </w:rPr>
        <w:t>；</w:t>
      </w:r>
    </w:p>
    <w:p>
      <w:pPr>
        <w:spacing w:line="560" w:lineRule="atLeast"/>
        <w:ind w:firstLine="420"/>
        <w:jc w:val="left"/>
        <w:rPr>
          <w:rFonts w:ascii="Times New Roman" w:hAnsi="Times New Roman" w:cs="Times New Roman"/>
          <w:b/>
          <w:bCs/>
        </w:rPr>
      </w:pPr>
      <w:r>
        <w:rPr>
          <w:rFonts w:hint="eastAsia" w:ascii="Times New Roman" w:hAnsi="Times New Roman" w:cs="Times New Roman"/>
          <w:b/>
          <w:bCs/>
        </w:rPr>
        <w:t>（2）</w:t>
      </w:r>
      <w:r>
        <w:rPr>
          <w:rFonts w:ascii="Times New Roman" w:hAnsi="Times New Roman" w:cs="Times New Roman"/>
          <w:b/>
          <w:bCs/>
        </w:rPr>
        <w:t>法定代表人身份证明及授权委托书</w:t>
      </w:r>
      <w:r>
        <w:rPr>
          <w:rFonts w:hint="eastAsia" w:ascii="Times New Roman" w:hAnsi="Times New Roman" w:cs="Times New Roman"/>
          <w:b/>
          <w:bCs/>
        </w:rPr>
        <w:t>；</w:t>
      </w:r>
    </w:p>
    <w:p>
      <w:pPr>
        <w:spacing w:line="560" w:lineRule="atLeast"/>
        <w:ind w:firstLine="420"/>
        <w:jc w:val="left"/>
        <w:rPr>
          <w:rFonts w:ascii="Times New Roman" w:hAnsi="Times New Roman" w:cs="Times New Roman"/>
          <w:b/>
          <w:bCs/>
        </w:rPr>
      </w:pPr>
      <w:r>
        <w:rPr>
          <w:rFonts w:hint="eastAsia" w:ascii="Times New Roman" w:hAnsi="Times New Roman" w:cs="Times New Roman"/>
          <w:b/>
          <w:bCs/>
        </w:rPr>
        <w:t>（3）</w:t>
      </w:r>
      <w:r>
        <w:rPr>
          <w:rFonts w:ascii="Times New Roman" w:hAnsi="Times New Roman" w:cs="Times New Roman"/>
          <w:b/>
          <w:bCs/>
        </w:rPr>
        <w:t>已标价的</w:t>
      </w:r>
      <w:r>
        <w:rPr>
          <w:rFonts w:hint="eastAsia" w:ascii="Times New Roman" w:hAnsi="Times New Roman" w:cs="Times New Roman"/>
          <w:b/>
          <w:bCs/>
        </w:rPr>
        <w:t>报价清单；</w:t>
      </w:r>
    </w:p>
    <w:p>
      <w:pPr>
        <w:spacing w:line="560" w:lineRule="atLeast"/>
        <w:ind w:firstLine="420"/>
        <w:jc w:val="left"/>
        <w:rPr>
          <w:rFonts w:ascii="Times New Roman" w:hAnsi="Times New Roman" w:cs="Times New Roman"/>
          <w:b/>
          <w:bCs/>
        </w:rPr>
      </w:pPr>
      <w:r>
        <w:rPr>
          <w:rFonts w:hint="eastAsia" w:ascii="Times New Roman" w:hAnsi="Times New Roman" w:cs="Times New Roman"/>
          <w:b/>
          <w:bCs/>
        </w:rPr>
        <w:t>（4）</w:t>
      </w:r>
      <w:r>
        <w:rPr>
          <w:rFonts w:ascii="Times New Roman" w:hAnsi="Times New Roman" w:cs="Times New Roman"/>
          <w:b/>
          <w:bCs/>
        </w:rPr>
        <w:t>供应商基本情况</w:t>
      </w:r>
      <w:r>
        <w:rPr>
          <w:rFonts w:hint="eastAsia" w:ascii="Times New Roman" w:hAnsi="Times New Roman" w:cs="Times New Roman"/>
          <w:b/>
          <w:bCs/>
        </w:rPr>
        <w:t>；</w:t>
      </w:r>
    </w:p>
    <w:p>
      <w:pPr>
        <w:spacing w:line="560" w:lineRule="atLeast"/>
        <w:ind w:firstLine="420"/>
        <w:jc w:val="left"/>
        <w:rPr>
          <w:rFonts w:ascii="Times New Roman" w:hAnsi="Times New Roman" w:cs="Times New Roman"/>
          <w:b/>
          <w:bCs/>
        </w:rPr>
      </w:pPr>
      <w:r>
        <w:rPr>
          <w:rFonts w:hint="eastAsia" w:ascii="Times New Roman" w:hAnsi="Times New Roman" w:cs="Times New Roman"/>
          <w:b/>
          <w:bCs/>
        </w:rPr>
        <w:t>（5）</w:t>
      </w:r>
      <w:r>
        <w:rPr>
          <w:rFonts w:ascii="Times New Roman" w:hAnsi="Times New Roman" w:cs="Times New Roman"/>
          <w:b/>
          <w:bCs/>
        </w:rPr>
        <w:t>近年类似业绩情况</w:t>
      </w:r>
      <w:r>
        <w:rPr>
          <w:rFonts w:hint="eastAsia" w:ascii="Times New Roman" w:hAnsi="Times New Roman" w:cs="Times New Roman"/>
          <w:b/>
          <w:bCs/>
        </w:rPr>
        <w:t>；</w:t>
      </w:r>
    </w:p>
    <w:p>
      <w:pPr>
        <w:spacing w:line="560" w:lineRule="atLeast"/>
        <w:ind w:firstLine="420"/>
        <w:jc w:val="left"/>
        <w:rPr>
          <w:rFonts w:ascii="Times New Roman" w:hAnsi="Times New Roman" w:cs="Times New Roman"/>
          <w:b/>
          <w:bCs/>
        </w:rPr>
      </w:pPr>
      <w:r>
        <w:rPr>
          <w:rFonts w:hint="eastAsia" w:ascii="Times New Roman" w:hAnsi="Times New Roman" w:cs="Times New Roman"/>
          <w:b/>
          <w:bCs/>
        </w:rPr>
        <w:t>（6）</w:t>
      </w:r>
      <w:r>
        <w:rPr>
          <w:rFonts w:ascii="Times New Roman" w:hAnsi="Times New Roman" w:cs="Times New Roman"/>
          <w:b/>
          <w:bCs/>
        </w:rPr>
        <w:t>信誉情况</w:t>
      </w:r>
      <w:r>
        <w:rPr>
          <w:rFonts w:hint="eastAsia" w:ascii="Times New Roman" w:hAnsi="Times New Roman" w:cs="Times New Roman"/>
          <w:b/>
          <w:bCs/>
        </w:rPr>
        <w:t>；</w:t>
      </w:r>
    </w:p>
    <w:p>
      <w:pPr>
        <w:spacing w:line="560" w:lineRule="atLeast"/>
        <w:ind w:firstLine="420"/>
        <w:jc w:val="left"/>
        <w:rPr>
          <w:rFonts w:ascii="Times New Roman" w:hAnsi="Times New Roman" w:cs="Times New Roman"/>
          <w:b/>
          <w:bCs/>
        </w:rPr>
      </w:pPr>
      <w:r>
        <w:rPr>
          <w:rFonts w:hint="eastAsia" w:ascii="Times New Roman" w:hAnsi="Times New Roman" w:cs="Times New Roman"/>
          <w:b/>
          <w:bCs/>
        </w:rPr>
        <w:t>（7）</w:t>
      </w:r>
      <w:r>
        <w:rPr>
          <w:rFonts w:hint="eastAsia" w:ascii="Times New Roman" w:hAnsi="Times New Roman" w:cs="Times New Roman"/>
          <w:b/>
          <w:bCs/>
          <w:szCs w:val="21"/>
        </w:rPr>
        <w:t>技术性能（质量）指标描述</w:t>
      </w:r>
      <w:r>
        <w:rPr>
          <w:rFonts w:hint="eastAsia" w:ascii="Times New Roman" w:hAnsi="Times New Roman" w:cs="Times New Roman"/>
          <w:b/>
          <w:bCs/>
        </w:rPr>
        <w:t>；</w:t>
      </w:r>
    </w:p>
    <w:p>
      <w:pPr>
        <w:spacing w:line="560" w:lineRule="atLeast"/>
        <w:ind w:firstLine="420"/>
        <w:jc w:val="left"/>
        <w:rPr>
          <w:rFonts w:ascii="Times New Roman" w:hAnsi="Times New Roman" w:cs="Times New Roman"/>
          <w:b/>
          <w:bCs/>
        </w:rPr>
      </w:pPr>
      <w:r>
        <w:rPr>
          <w:rFonts w:hint="eastAsia" w:ascii="Times New Roman" w:hAnsi="Times New Roman" w:cs="Times New Roman"/>
          <w:b/>
          <w:bCs/>
        </w:rPr>
        <w:t>（8）供货方案；</w:t>
      </w:r>
    </w:p>
    <w:p>
      <w:pPr>
        <w:spacing w:line="560" w:lineRule="atLeast"/>
        <w:ind w:firstLine="420"/>
        <w:jc w:val="left"/>
        <w:rPr>
          <w:rFonts w:ascii="Times New Roman" w:hAnsi="Times New Roman" w:cs="Times New Roman"/>
          <w:b/>
          <w:bCs/>
        </w:rPr>
      </w:pPr>
      <w:r>
        <w:rPr>
          <w:rFonts w:hint="eastAsia" w:ascii="Times New Roman" w:hAnsi="Times New Roman" w:cs="Times New Roman"/>
          <w:b/>
          <w:bCs/>
        </w:rPr>
        <w:t>（9）</w:t>
      </w:r>
      <w:r>
        <w:rPr>
          <w:rFonts w:ascii="Times New Roman" w:hAnsi="Times New Roman" w:cs="Times New Roman"/>
          <w:b/>
          <w:bCs/>
        </w:rPr>
        <w:t>其他材料</w:t>
      </w:r>
      <w:r>
        <w:rPr>
          <w:rFonts w:hint="eastAsia" w:ascii="Times New Roman" w:hAnsi="Times New Roman" w:cs="Times New Roman"/>
          <w:b/>
          <w:bCs/>
        </w:rPr>
        <w:t>。</w:t>
      </w:r>
    </w:p>
    <w:p>
      <w:pPr>
        <w:spacing w:line="560" w:lineRule="atLeast"/>
        <w:ind w:left="1619" w:leftChars="771"/>
        <w:rPr>
          <w:rFonts w:ascii="Times New Roman" w:hAnsi="Times New Roman" w:eastAsia="黑体" w:cs="Times New Roman"/>
          <w:sz w:val="24"/>
        </w:rPr>
      </w:pPr>
    </w:p>
    <w:p>
      <w:pPr>
        <w:numPr>
          <w:ilvl w:val="0"/>
          <w:numId w:val="4"/>
        </w:num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103" w:name="_Toc1687_WPSOffice_Level1"/>
      <w:bookmarkStart w:id="104" w:name="_Toc29399_WPSOffice_Level1"/>
      <w:bookmarkStart w:id="105" w:name="_Toc2765_WPSOffice_Level1"/>
      <w:bookmarkStart w:id="106" w:name="_Toc18312_WPSOffice_Level1"/>
      <w:bookmarkStart w:id="107" w:name="_Toc30031_WPSOffice_Level1"/>
      <w:r>
        <w:rPr>
          <w:rFonts w:ascii="Times New Roman" w:hAnsi="Times New Roman" w:eastAsia="黑体" w:cs="Times New Roman"/>
          <w:sz w:val="28"/>
          <w:szCs w:val="28"/>
        </w:rPr>
        <w:t>报价函</w:t>
      </w:r>
      <w:bookmarkEnd w:id="103"/>
      <w:bookmarkEnd w:id="104"/>
      <w:bookmarkEnd w:id="105"/>
      <w:bookmarkEnd w:id="106"/>
      <w:bookmarkEnd w:id="107"/>
    </w:p>
    <w:p>
      <w:pPr>
        <w:pStyle w:val="5"/>
      </w:pPr>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(采购人名称)：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hint="eastAsia" w:ascii="Times New Roman" w:hAnsi="Times New Roman" w:cs="Times New Roman"/>
          <w:szCs w:val="22"/>
          <w:u w:val="single"/>
        </w:rPr>
        <w:t xml:space="preserve">             第  </w:t>
      </w:r>
      <w:r>
        <w:rPr>
          <w:rFonts w:ascii="Times New Roman" w:hAnsi="Times New Roman" w:cs="Times New Roman"/>
          <w:szCs w:val="22"/>
          <w:u w:val="single"/>
        </w:rPr>
        <w:t xml:space="preserve"> </w:t>
      </w:r>
      <w:r>
        <w:rPr>
          <w:rFonts w:ascii="Times New Roman" w:hAnsi="Times New Roman" w:cs="Times New Roman"/>
          <w:sz w:val="24"/>
        </w:rPr>
        <w:t>合同包询比文件的全部内容，愿意以人民币(大写)</w:t>
      </w:r>
      <w:r>
        <w:rPr>
          <w:rFonts w:ascii="Times New Roman" w:hAnsi="Times New Roman" w:cs="Times New Roman"/>
          <w:sz w:val="24"/>
          <w:u w:val="single"/>
        </w:rPr>
        <w:t xml:space="preserve">   </w:t>
      </w:r>
      <w:r>
        <w:rPr>
          <w:rFonts w:hint="eastAsia" w:ascii="Times New Roman" w:hAnsi="Times New Roman" w:cs="Times New Roman"/>
          <w:sz w:val="24"/>
          <w:u w:val="single"/>
        </w:rPr>
        <w:t xml:space="preserve">        </w:t>
      </w:r>
      <w:r>
        <w:rPr>
          <w:rFonts w:ascii="Times New Roman" w:hAnsi="Times New Roman" w:cs="Times New Roman"/>
          <w:sz w:val="24"/>
          <w:u w:val="single"/>
        </w:rPr>
        <w:t xml:space="preserve">  </w:t>
      </w:r>
      <w:r>
        <w:rPr>
          <w:rFonts w:ascii="Times New Roman" w:hAnsi="Times New Roman" w:cs="Times New Roman"/>
          <w:sz w:val="24"/>
        </w:rPr>
        <w:t>(小写：¥</w:t>
      </w:r>
      <w:r>
        <w:rPr>
          <w:rFonts w:ascii="Times New Roman" w:hAnsi="Times New Roman" w:cs="Times New Roman"/>
          <w:sz w:val="24"/>
          <w:u w:val="single"/>
        </w:rPr>
        <w:t xml:space="preserve">       </w:t>
      </w:r>
      <w:r>
        <w:rPr>
          <w:rFonts w:ascii="Times New Roman" w:hAnsi="Times New Roman" w:cs="Times New Roman"/>
          <w:sz w:val="24"/>
        </w:rPr>
        <w:t>)的总报价，</w:t>
      </w:r>
      <w:r>
        <w:rPr>
          <w:rFonts w:hint="eastAsia" w:ascii="Times New Roman" w:hAnsi="Times New Roman" w:cs="Times New Roman"/>
          <w:sz w:val="24"/>
        </w:rPr>
        <w:t>交货期</w:t>
      </w:r>
      <w:r>
        <w:rPr>
          <w:rFonts w:ascii="Times New Roman" w:hAnsi="Times New Roman" w:cs="Times New Roman"/>
          <w:sz w:val="24"/>
          <w:u w:val="single"/>
        </w:rPr>
        <w:t xml:space="preserve">           </w:t>
      </w:r>
      <w:r>
        <w:rPr>
          <w:rFonts w:ascii="Times New Roman" w:hAnsi="Times New Roman" w:cs="Times New Roman"/>
          <w:sz w:val="24"/>
        </w:rPr>
        <w:t>，按合同约定实施和完成</w:t>
      </w:r>
      <w:r>
        <w:rPr>
          <w:rFonts w:hint="eastAsia" w:ascii="Times New Roman" w:hAnsi="Times New Roman" w:cs="Times New Roman"/>
          <w:sz w:val="24"/>
        </w:rPr>
        <w:t>供货及提供相关服务</w:t>
      </w:r>
      <w:r>
        <w:rPr>
          <w:rFonts w:ascii="Times New Roman" w:hAnsi="Times New Roman" w:cs="Times New Roman"/>
          <w:sz w:val="24"/>
        </w:rPr>
        <w:t>，质量目标达到</w:t>
      </w:r>
      <w:r>
        <w:rPr>
          <w:rFonts w:ascii="Times New Roman" w:hAnsi="Times New Roman" w:cs="Times New Roman"/>
          <w:sz w:val="24"/>
          <w:u w:val="single"/>
        </w:rPr>
        <w:t xml:space="preserve">     </w:t>
      </w:r>
      <w:r>
        <w:rPr>
          <w:rFonts w:ascii="Times New Roman" w:hAnsi="Times New Roman" w:cs="Times New Roman"/>
          <w:sz w:val="24"/>
        </w:rPr>
        <w:t>。</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pStyle w:val="5"/>
        <w:ind w:firstLine="480" w:firstLineChars="200"/>
      </w:pPr>
      <w:r>
        <w:rPr>
          <w:rFonts w:hint="eastAsia" w:ascii="Times New Roman" w:hAnsi="Times New Roman" w:cs="Times New Roman"/>
          <w:sz w:val="24"/>
        </w:rPr>
        <w:t>(4)我方承诺车辆符合国家入户、上牌标准，如因我方造成的原因</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ind w:firstLine="3420" w:firstLineChars="1425"/>
        <w:rPr>
          <w:rFonts w:ascii="Times New Roman" w:hAnsi="Times New Roman" w:cs="Times New Roman"/>
          <w:sz w:val="24"/>
        </w:rPr>
      </w:pP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r>
        <w:rPr>
          <w:rFonts w:ascii="Times New Roman" w:hAnsi="Times New Roman" w:cs="Times New Roman"/>
          <w:sz w:val="24"/>
          <w:u w:val="single"/>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r>
        <w:rPr>
          <w:rFonts w:ascii="Times New Roman" w:hAnsi="Times New Roman" w:cs="Times New Roman"/>
          <w:sz w:val="24"/>
          <w:u w:val="single"/>
        </w:rPr>
        <w:t xml:space="preserve">                                  </w:t>
      </w:r>
    </w:p>
    <w:p>
      <w:pPr>
        <w:spacing w:line="400" w:lineRule="exact"/>
        <w:ind w:firstLine="4740" w:firstLineChars="1975"/>
        <w:rPr>
          <w:rFonts w:ascii="Times New Roman"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08" w:name="_Toc8695_WPSOffice_Level1"/>
      <w:bookmarkStart w:id="109" w:name="_Toc18668_WPSOffice_Level1"/>
      <w:bookmarkStart w:id="110" w:name="_Toc32350_WPSOffice_Level1"/>
      <w:bookmarkStart w:id="111" w:name="_Toc12530_WPSOffice_Level1"/>
      <w:bookmarkStart w:id="112" w:name="_Toc14563_WPSOffice_Level1"/>
      <w:r>
        <w:rPr>
          <w:rFonts w:ascii="Times New Roman" w:hAnsi="Times New Roman" w:eastAsia="黑体" w:cs="Times New Roman"/>
          <w:sz w:val="28"/>
          <w:szCs w:val="28"/>
        </w:rPr>
        <w:t>二、法定代表人身份证明及授权委托书</w:t>
      </w:r>
      <w:bookmarkEnd w:id="108"/>
      <w:bookmarkEnd w:id="109"/>
      <w:bookmarkEnd w:id="110"/>
      <w:bookmarkEnd w:id="111"/>
      <w:bookmarkEnd w:id="112"/>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13" w:name="_Toc5153_WPSOffice_Level2"/>
      <w:bookmarkStart w:id="114" w:name="_Toc20803_WPSOffice_Level2"/>
      <w:r>
        <w:rPr>
          <w:rFonts w:ascii="Times New Roman" w:hAnsi="Times New Roman" w:eastAsia="黑体" w:cs="Times New Roman"/>
          <w:bCs/>
          <w:sz w:val="28"/>
          <w:szCs w:val="28"/>
        </w:rPr>
        <w:t>2-1 法定代表人身份证明</w:t>
      </w:r>
      <w:bookmarkEnd w:id="113"/>
      <w:bookmarkEnd w:id="114"/>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r>
        <w:rPr>
          <w:rFonts w:ascii="Times New Roman" w:hAnsi="Times New Roman" w:cs="Times New Roman"/>
          <w:sz w:val="24"/>
          <w:u w:val="single"/>
        </w:rPr>
        <w:t xml:space="preserve">                    </w:t>
      </w:r>
      <w:r>
        <w:rPr>
          <w:rFonts w:hint="eastAsia" w:ascii="Times New Roman" w:hAnsi="Times New Roman" w:cs="Times New Roman"/>
          <w:sz w:val="24"/>
          <w:u w:val="single"/>
        </w:rPr>
        <w:t xml:space="preserve"> </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40" w:lineRule="exact"/>
        <w:rPr>
          <w:rFonts w:ascii="Times New Roman" w:hAnsi="Times New Roman" w:cs="Times New Roman"/>
          <w:sz w:val="24"/>
        </w:rPr>
      </w:pPr>
      <w:r>
        <w:rPr>
          <w:rFonts w:ascii="Times New Roman" w:hAnsi="Times New Roman" w:cs="Times New Roman"/>
          <w:sz w:val="24"/>
        </w:rPr>
        <w:t>单位性质：</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40" w:lineRule="exact"/>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成立时间：</w:t>
      </w:r>
      <w:r>
        <w:rPr>
          <w:rFonts w:ascii="Times New Roman" w:hAnsi="Times New Roman" w:cs="Times New Roman"/>
          <w:sz w:val="24"/>
          <w:u w:val="single"/>
        </w:rPr>
        <w:t xml:space="preserve">         </w:t>
      </w:r>
      <w:r>
        <w:rPr>
          <w:rFonts w:ascii="Times New Roman" w:hAnsi="Times New Roman" w:cs="Times New Roman"/>
          <w:sz w:val="24"/>
        </w:rPr>
        <w:t xml:space="preserve"> 年</w:t>
      </w:r>
      <w:r>
        <w:rPr>
          <w:rFonts w:ascii="Times New Roman" w:hAnsi="Times New Roman" w:cs="Times New Roman"/>
          <w:sz w:val="24"/>
          <w:u w:val="single"/>
        </w:rPr>
        <w:t xml:space="preserve">       </w:t>
      </w:r>
      <w:r>
        <w:rPr>
          <w:rFonts w:ascii="Times New Roman" w:hAnsi="Times New Roman" w:cs="Times New Roman"/>
          <w:sz w:val="24"/>
        </w:rPr>
        <w:t xml:space="preserve"> 月</w:t>
      </w:r>
      <w:r>
        <w:rPr>
          <w:rFonts w:ascii="Times New Roman" w:hAnsi="Times New Roman" w:cs="Times New Roman"/>
          <w:sz w:val="24"/>
          <w:u w:val="single"/>
        </w:rPr>
        <w:t xml:space="preserve">       </w:t>
      </w:r>
      <w:r>
        <w:rPr>
          <w:rFonts w:ascii="Times New Roman" w:hAnsi="Times New Roman" w:cs="Times New Roman"/>
          <w:sz w:val="24"/>
        </w:rPr>
        <w:t xml:space="preserve"> 日</w:t>
      </w:r>
    </w:p>
    <w:p>
      <w:pPr>
        <w:spacing w:line="440" w:lineRule="exact"/>
        <w:rPr>
          <w:rFonts w:ascii="Times New Roman" w:hAnsi="Times New Roman" w:cs="Times New Roman"/>
          <w:sz w:val="24"/>
        </w:rPr>
      </w:pPr>
      <w:r>
        <w:rPr>
          <w:rFonts w:ascii="Times New Roman" w:hAnsi="Times New Roman" w:cs="Times New Roman"/>
          <w:sz w:val="24"/>
        </w:rPr>
        <w:t>经营期限：</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姓名：</w:t>
      </w:r>
      <w:r>
        <w:rPr>
          <w:rFonts w:ascii="Times New Roman" w:hAnsi="Times New Roman" w:cs="Times New Roman"/>
          <w:sz w:val="24"/>
          <w:u w:val="single"/>
        </w:rPr>
        <w:t xml:space="preserve"> </w:t>
      </w:r>
      <w:r>
        <w:rPr>
          <w:rFonts w:hint="eastAsia" w:ascii="Times New Roman" w:hAnsi="Times New Roman" w:cs="Times New Roman"/>
          <w:sz w:val="24"/>
          <w:u w:val="single"/>
        </w:rPr>
        <w:t xml:space="preserve">  </w:t>
      </w:r>
      <w:r>
        <w:rPr>
          <w:rFonts w:ascii="Times New Roman" w:hAnsi="Times New Roman" w:cs="Times New Roman"/>
          <w:bCs/>
          <w:sz w:val="24"/>
          <w:u w:val="single"/>
        </w:rPr>
        <w:t xml:space="preserve"> </w:t>
      </w:r>
      <w:r>
        <w:rPr>
          <w:rFonts w:ascii="Times New Roman" w:hAnsi="Times New Roman" w:cs="Times New Roman"/>
          <w:sz w:val="24"/>
        </w:rPr>
        <w:t xml:space="preserve"> 性别：</w:t>
      </w:r>
      <w:r>
        <w:rPr>
          <w:rFonts w:ascii="Times New Roman" w:hAnsi="Times New Roman" w:cs="Times New Roman"/>
          <w:sz w:val="24"/>
          <w:u w:val="single"/>
        </w:rPr>
        <w:t xml:space="preserve"> </w:t>
      </w:r>
      <w:r>
        <w:rPr>
          <w:rFonts w:hint="eastAsia" w:ascii="Times New Roman" w:hAnsi="Times New Roman" w:cs="Times New Roman"/>
          <w:sz w:val="24"/>
          <w:u w:val="single"/>
        </w:rPr>
        <w:t xml:space="preserve"> </w:t>
      </w:r>
      <w:r>
        <w:rPr>
          <w:rFonts w:ascii="Times New Roman" w:hAnsi="Times New Roman" w:cs="Times New Roman"/>
          <w:sz w:val="24"/>
          <w:u w:val="single"/>
        </w:rPr>
        <w:t xml:space="preserve">  </w:t>
      </w:r>
      <w:r>
        <w:rPr>
          <w:rFonts w:ascii="Times New Roman" w:hAnsi="Times New Roman" w:cs="Times New Roman"/>
          <w:sz w:val="24"/>
        </w:rPr>
        <w:t>年龄：</w:t>
      </w:r>
      <w:r>
        <w:rPr>
          <w:rFonts w:ascii="Times New Roman" w:hAnsi="Times New Roman" w:cs="Times New Roman"/>
          <w:sz w:val="24"/>
          <w:u w:val="single"/>
        </w:rPr>
        <w:t xml:space="preserve"> </w:t>
      </w:r>
      <w:r>
        <w:rPr>
          <w:rFonts w:hint="eastAsia" w:ascii="Times New Roman" w:hAnsi="Times New Roman" w:cs="Times New Roman"/>
          <w:sz w:val="24"/>
          <w:u w:val="single"/>
        </w:rPr>
        <w:t xml:space="preserve"> </w:t>
      </w:r>
      <w:r>
        <w:rPr>
          <w:rFonts w:ascii="Times New Roman" w:hAnsi="Times New Roman" w:cs="Times New Roman"/>
          <w:sz w:val="24"/>
          <w:u w:val="single"/>
        </w:rPr>
        <w:t xml:space="preserve"> </w:t>
      </w:r>
      <w:r>
        <w:rPr>
          <w:rFonts w:hint="eastAsia" w:ascii="Times New Roman" w:hAnsi="Times New Roman" w:cs="Times New Roman"/>
          <w:sz w:val="24"/>
          <w:u w:val="single"/>
        </w:rPr>
        <w:t xml:space="preserve"> </w:t>
      </w:r>
      <w:r>
        <w:rPr>
          <w:rFonts w:ascii="Times New Roman" w:hAnsi="Times New Roman" w:cs="Times New Roman"/>
          <w:sz w:val="24"/>
        </w:rPr>
        <w:t>职务：</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系</w:t>
      </w:r>
      <w:r>
        <w:rPr>
          <w:rFonts w:ascii="Times New Roman" w:hAnsi="Times New Roman" w:cs="Times New Roman"/>
          <w:sz w:val="24"/>
          <w:u w:val="single"/>
        </w:rPr>
        <w:t xml:space="preserve">                             </w:t>
      </w:r>
      <w:r>
        <w:rPr>
          <w:rFonts w:ascii="Times New Roman" w:hAnsi="Times New Roman" w:cs="Times New Roman"/>
          <w:sz w:val="24"/>
        </w:rPr>
        <w:t xml:space="preserve"> (供应商名称)的法定代表人。</w:t>
      </w:r>
    </w:p>
    <w:p>
      <w:pPr>
        <w:pStyle w:val="5"/>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hint="eastAsia"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 xml:space="preserve"> 日           </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15" w:name="_Toc19768_WPSOffice_Level2"/>
      <w:bookmarkStart w:id="116" w:name="_Toc12035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15"/>
      <w:bookmarkEnd w:id="116"/>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w:t>
      </w:r>
      <w:r>
        <w:rPr>
          <w:rFonts w:ascii="Times New Roman" w:hAnsi="Times New Roman" w:cs="Times New Roman"/>
          <w:sz w:val="24"/>
          <w:u w:val="single"/>
        </w:rPr>
        <w:t xml:space="preserve">             </w:t>
      </w:r>
      <w:r>
        <w:rPr>
          <w:rFonts w:ascii="Times New Roman" w:hAnsi="Times New Roman" w:cs="Times New Roman"/>
          <w:sz w:val="24"/>
        </w:rPr>
        <w:t>(姓名)系</w:t>
      </w:r>
      <w:r>
        <w:rPr>
          <w:rFonts w:ascii="Times New Roman" w:hAnsi="Times New Roman" w:cs="Times New Roman"/>
          <w:sz w:val="24"/>
          <w:u w:val="single"/>
        </w:rPr>
        <w:t xml:space="preserve">          </w:t>
      </w:r>
      <w:r>
        <w:rPr>
          <w:rFonts w:ascii="Times New Roman" w:hAnsi="Times New Roman" w:cs="Times New Roman"/>
          <w:sz w:val="24"/>
        </w:rPr>
        <w:t>(供应商名称)的法定代表人，现委托</w:t>
      </w:r>
      <w:r>
        <w:rPr>
          <w:rFonts w:ascii="Times New Roman" w:hAnsi="Times New Roman" w:cs="Times New Roman"/>
          <w:sz w:val="24"/>
          <w:u w:val="single"/>
        </w:rPr>
        <w:t xml:space="preserve">        </w:t>
      </w:r>
      <w:r>
        <w:rPr>
          <w:rFonts w:ascii="Times New Roman" w:hAnsi="Times New Roman" w:cs="Times New Roman"/>
          <w:sz w:val="24"/>
        </w:rPr>
        <w:t>(姓名)为我方代理人。代理人根据授权，以我方名义签署、澄清、说明、补正、递交、撤回、修改</w:t>
      </w:r>
      <w:r>
        <w:rPr>
          <w:rFonts w:ascii="Times New Roman" w:hAnsi="Times New Roman" w:cs="Times New Roman"/>
          <w:sz w:val="24"/>
          <w:u w:val="single"/>
        </w:rPr>
        <w:t xml:space="preserve">                     </w:t>
      </w:r>
      <w:r>
        <w:rPr>
          <w:rFonts w:ascii="Times New Roman" w:hAnsi="Times New Roman" w:cs="Times New Roman"/>
          <w:sz w:val="24"/>
        </w:rPr>
        <w:t>(项目名称)</w:t>
      </w:r>
      <w:r>
        <w:rPr>
          <w:rFonts w:ascii="Times New Roman" w:hAnsi="Times New Roman" w:cs="Times New Roman"/>
          <w:sz w:val="24"/>
          <w:u w:val="single"/>
        </w:rPr>
        <w:t xml:space="preserve">     </w:t>
      </w:r>
      <w:r>
        <w:rPr>
          <w:rFonts w:ascii="Times New Roman" w:hAnsi="Times New Roman" w:cs="Times New Roman"/>
          <w:sz w:val="24"/>
        </w:rPr>
        <w:t>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 xml:space="preserve">    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spacing w:line="440" w:lineRule="exact"/>
        <w:rPr>
          <w:rFonts w:ascii="Times New Roman" w:hAnsi="Times New Roman" w:eastAsia="黑体" w:cs="Times New Roman"/>
          <w:sz w:val="24"/>
        </w:rPr>
      </w:pPr>
      <w:r>
        <w:rPr>
          <w:rFonts w:ascii="Times New Roman" w:hAnsi="Times New Roman" w:eastAsia="黑体" w:cs="Times New Roman"/>
          <w:sz w:val="24"/>
        </w:rPr>
        <w:t xml:space="preserve"> </w:t>
      </w: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spacing w:line="440" w:lineRule="exact"/>
        <w:jc w:val="center"/>
        <w:rPr>
          <w:rFonts w:ascii="Times New Roman" w:hAnsi="Times New Roman" w:eastAsia="黑体" w:cs="Times New Roman"/>
          <w:sz w:val="28"/>
          <w:szCs w:val="28"/>
        </w:rPr>
      </w:pPr>
      <w:bookmarkStart w:id="117" w:name="_Toc24567_WPSOffice_Level1"/>
      <w:bookmarkStart w:id="118" w:name="_Toc15186_WPSOffice_Level1"/>
      <w:bookmarkStart w:id="119" w:name="_Toc32085_WPSOffice_Level1"/>
      <w:bookmarkStart w:id="120" w:name="_Toc24530_WPSOffice_Level1"/>
      <w:bookmarkStart w:id="121" w:name="_Toc12942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w:t>
      </w:r>
      <w:bookmarkEnd w:id="117"/>
      <w:bookmarkEnd w:id="118"/>
      <w:bookmarkEnd w:id="119"/>
      <w:bookmarkEnd w:id="120"/>
      <w:r>
        <w:rPr>
          <w:rFonts w:hint="eastAsia" w:ascii="Times New Roman" w:hAnsi="Times New Roman" w:eastAsia="黑体" w:cs="Times New Roman"/>
          <w:sz w:val="28"/>
          <w:szCs w:val="28"/>
        </w:rPr>
        <w:t>报价清单</w:t>
      </w:r>
      <w:bookmarkEnd w:id="121"/>
      <w:r>
        <w:rPr>
          <w:rFonts w:hint="eastAsia" w:ascii="Times New Roman" w:hAnsi="Times New Roman" w:eastAsia="黑体" w:cs="Times New Roman"/>
          <w:sz w:val="28"/>
          <w:szCs w:val="28"/>
        </w:rPr>
        <w:t>（   包）</w:t>
      </w:r>
    </w:p>
    <w:p>
      <w:pPr>
        <w:rPr>
          <w:rFonts w:ascii="仿宋" w:hAnsi="仿宋" w:eastAsia="仿宋"/>
          <w:sz w:val="30"/>
          <w:szCs w:val="30"/>
        </w:rPr>
      </w:pPr>
    </w:p>
    <w:tbl>
      <w:tblPr>
        <w:tblStyle w:val="14"/>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845"/>
        <w:gridCol w:w="931"/>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vAlign w:val="center"/>
          </w:tcPr>
          <w:p>
            <w:pPr>
              <w:jc w:val="center"/>
              <w:rPr>
                <w:sz w:val="30"/>
                <w:szCs w:val="30"/>
              </w:rPr>
            </w:pPr>
            <w:r>
              <w:rPr>
                <w:rFonts w:hint="eastAsia"/>
                <w:sz w:val="30"/>
                <w:szCs w:val="30"/>
              </w:rPr>
              <w:t>序号</w:t>
            </w:r>
          </w:p>
        </w:tc>
        <w:tc>
          <w:tcPr>
            <w:tcW w:w="1170" w:type="dxa"/>
            <w:vAlign w:val="center"/>
          </w:tcPr>
          <w:p>
            <w:pPr>
              <w:jc w:val="center"/>
              <w:rPr>
                <w:sz w:val="30"/>
                <w:szCs w:val="30"/>
              </w:rPr>
            </w:pPr>
            <w:r>
              <w:rPr>
                <w:rFonts w:hint="eastAsia"/>
                <w:sz w:val="30"/>
                <w:szCs w:val="30"/>
              </w:rPr>
              <w:t>名称</w:t>
            </w:r>
          </w:p>
        </w:tc>
        <w:tc>
          <w:tcPr>
            <w:tcW w:w="1845" w:type="dxa"/>
            <w:vAlign w:val="center"/>
          </w:tcPr>
          <w:p>
            <w:pPr>
              <w:jc w:val="center"/>
              <w:rPr>
                <w:sz w:val="30"/>
                <w:szCs w:val="30"/>
              </w:rPr>
            </w:pPr>
            <w:r>
              <w:rPr>
                <w:rFonts w:hint="eastAsia"/>
                <w:sz w:val="30"/>
                <w:szCs w:val="30"/>
              </w:rPr>
              <w:t>品牌型号</w:t>
            </w:r>
          </w:p>
        </w:tc>
        <w:tc>
          <w:tcPr>
            <w:tcW w:w="931" w:type="dxa"/>
            <w:vAlign w:val="center"/>
          </w:tcPr>
          <w:p>
            <w:pPr>
              <w:jc w:val="center"/>
              <w:rPr>
                <w:sz w:val="30"/>
                <w:szCs w:val="30"/>
              </w:rPr>
            </w:pPr>
            <w:r>
              <w:rPr>
                <w:rFonts w:hint="eastAsia"/>
                <w:sz w:val="30"/>
                <w:szCs w:val="30"/>
              </w:rPr>
              <w:t>单位</w:t>
            </w:r>
          </w:p>
        </w:tc>
        <w:tc>
          <w:tcPr>
            <w:tcW w:w="1065" w:type="dxa"/>
            <w:vAlign w:val="center"/>
          </w:tcPr>
          <w:p>
            <w:pPr>
              <w:jc w:val="center"/>
              <w:rPr>
                <w:sz w:val="30"/>
                <w:szCs w:val="30"/>
              </w:rPr>
            </w:pPr>
            <w:r>
              <w:rPr>
                <w:rFonts w:hint="eastAsia"/>
                <w:sz w:val="30"/>
                <w:szCs w:val="30"/>
              </w:rPr>
              <w:t>数量</w:t>
            </w:r>
          </w:p>
        </w:tc>
        <w:tc>
          <w:tcPr>
            <w:tcW w:w="1140" w:type="dxa"/>
            <w:vAlign w:val="center"/>
          </w:tcPr>
          <w:p>
            <w:pPr>
              <w:jc w:val="center"/>
              <w:rPr>
                <w:sz w:val="30"/>
                <w:szCs w:val="30"/>
              </w:rPr>
            </w:pPr>
            <w:r>
              <w:rPr>
                <w:rFonts w:hint="eastAsia"/>
                <w:sz w:val="30"/>
                <w:szCs w:val="30"/>
              </w:rPr>
              <w:t>单价</w:t>
            </w:r>
          </w:p>
        </w:tc>
        <w:tc>
          <w:tcPr>
            <w:tcW w:w="2492"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vAlign w:val="center"/>
          </w:tcPr>
          <w:p>
            <w:pPr>
              <w:spacing w:before="100" w:beforeAutospacing="1" w:after="100" w:afterAutospacing="1" w:line="360" w:lineRule="auto"/>
              <w:jc w:val="center"/>
              <w:rPr>
                <w:sz w:val="30"/>
                <w:szCs w:val="30"/>
              </w:rPr>
            </w:pPr>
          </w:p>
        </w:tc>
        <w:tc>
          <w:tcPr>
            <w:tcW w:w="1845" w:type="dxa"/>
            <w:vAlign w:val="center"/>
          </w:tcPr>
          <w:p>
            <w:pPr>
              <w:spacing w:before="100" w:beforeAutospacing="1" w:after="100" w:afterAutospacing="1" w:line="360" w:lineRule="auto"/>
              <w:jc w:val="center"/>
              <w:rPr>
                <w:sz w:val="28"/>
                <w:szCs w:val="28"/>
              </w:rPr>
            </w:pPr>
          </w:p>
        </w:tc>
        <w:tc>
          <w:tcPr>
            <w:tcW w:w="931" w:type="dxa"/>
            <w:vAlign w:val="center"/>
          </w:tcPr>
          <w:p>
            <w:pPr>
              <w:jc w:val="center"/>
              <w:rPr>
                <w:sz w:val="30"/>
                <w:szCs w:val="30"/>
              </w:rPr>
            </w:pPr>
          </w:p>
        </w:tc>
        <w:tc>
          <w:tcPr>
            <w:tcW w:w="1065" w:type="dxa"/>
            <w:vAlign w:val="center"/>
          </w:tcPr>
          <w:p>
            <w:pPr>
              <w:jc w:val="center"/>
              <w:rPr>
                <w:sz w:val="30"/>
                <w:szCs w:val="30"/>
              </w:rPr>
            </w:pPr>
          </w:p>
        </w:tc>
        <w:tc>
          <w:tcPr>
            <w:tcW w:w="1140" w:type="dxa"/>
            <w:vAlign w:val="center"/>
          </w:tcPr>
          <w:p>
            <w:pPr>
              <w:jc w:val="center"/>
              <w:rPr>
                <w:sz w:val="30"/>
                <w:szCs w:val="30"/>
              </w:rPr>
            </w:pPr>
          </w:p>
        </w:tc>
        <w:tc>
          <w:tcPr>
            <w:tcW w:w="2492"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vAlign w:val="center"/>
          </w:tcPr>
          <w:p>
            <w:pPr>
              <w:spacing w:before="100" w:beforeAutospacing="1" w:after="100" w:afterAutospacing="1" w:line="360" w:lineRule="auto"/>
              <w:jc w:val="center"/>
              <w:rPr>
                <w:sz w:val="30"/>
                <w:szCs w:val="30"/>
              </w:rPr>
            </w:pPr>
            <w:r>
              <w:rPr>
                <w:rFonts w:hint="eastAsia"/>
                <w:sz w:val="30"/>
                <w:szCs w:val="30"/>
              </w:rPr>
              <w:t>合计</w:t>
            </w:r>
          </w:p>
        </w:tc>
        <w:tc>
          <w:tcPr>
            <w:tcW w:w="4981" w:type="dxa"/>
            <w:gridSpan w:val="4"/>
            <w:vAlign w:val="center"/>
          </w:tcPr>
          <w:p>
            <w:r>
              <w:rPr>
                <w:rFonts w:hint="eastAsia"/>
                <w:sz w:val="30"/>
                <w:szCs w:val="30"/>
              </w:rPr>
              <w:t>大写金额：</w:t>
            </w:r>
          </w:p>
        </w:tc>
        <w:tc>
          <w:tcPr>
            <w:tcW w:w="2492" w:type="dxa"/>
            <w:vAlign w:val="center"/>
          </w:tcPr>
          <w:p>
            <w:pPr>
              <w:rPr>
                <w:sz w:val="30"/>
                <w:szCs w:val="30"/>
              </w:rPr>
            </w:pPr>
            <w:r>
              <w:rPr>
                <w:rFonts w:hint="eastAsia"/>
                <w:sz w:val="30"/>
                <w:szCs w:val="30"/>
              </w:rPr>
              <w:t>小写：</w:t>
            </w:r>
          </w:p>
        </w:tc>
      </w:tr>
    </w:tbl>
    <w:p>
      <w:pPr>
        <w:rPr>
          <w:rFonts w:ascii="仿宋" w:hAnsi="仿宋" w:eastAsia="仿宋"/>
          <w:sz w:val="30"/>
          <w:szCs w:val="30"/>
        </w:rPr>
      </w:pPr>
      <w:r>
        <w:rPr>
          <w:rFonts w:hint="eastAsia" w:ascii="仿宋" w:hAnsi="仿宋" w:eastAsia="仿宋"/>
          <w:sz w:val="30"/>
          <w:szCs w:val="30"/>
        </w:rPr>
        <w:t>报价人（单位签章）：</w:t>
      </w:r>
    </w:p>
    <w:p>
      <w:pPr>
        <w:rPr>
          <w:rFonts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ascii="Times New Roman" w:hAnsi="Times New Roman" w:eastAsia="黑体" w:cs="Times New Roman"/>
          <w:sz w:val="24"/>
        </w:rPr>
      </w:pPr>
      <w:r>
        <w:rPr>
          <w:rFonts w:hint="eastAsia" w:ascii="仿宋" w:hAnsi="仿宋" w:eastAsia="仿宋"/>
          <w:sz w:val="30"/>
          <w:szCs w:val="30"/>
        </w:rPr>
        <w:t xml:space="preserve">日期：   年    月     日  </w:t>
      </w:r>
    </w:p>
    <w:p>
      <w:pPr>
        <w:spacing w:line="440" w:lineRule="exact"/>
        <w:rPr>
          <w:rFonts w:ascii="Times New Roman" w:hAnsi="Times New Roman" w:eastAsia="黑体" w:cs="Times New Roman"/>
          <w:sz w:val="24"/>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pStyle w:val="5"/>
        <w:rPr>
          <w:rFonts w:ascii="Times New Roman" w:hAnsi="Times New Roman" w:eastAsia="黑体" w:cs="Times New Roman"/>
          <w:sz w:val="24"/>
        </w:rPr>
      </w:pPr>
    </w:p>
    <w:p>
      <w:pPr>
        <w:pStyle w:val="5"/>
        <w:rPr>
          <w:rFonts w:ascii="Times New Roman" w:hAnsi="Times New Roman" w:eastAsia="黑体" w:cs="Times New Roman"/>
          <w:sz w:val="24"/>
        </w:rPr>
      </w:pPr>
    </w:p>
    <w:p>
      <w:pPr>
        <w:pStyle w:val="5"/>
        <w:rPr>
          <w:rFonts w:ascii="Times New Roman" w:hAnsi="Times New Roman" w:eastAsia="黑体" w:cs="Times New Roman"/>
          <w:sz w:val="24"/>
        </w:rPr>
      </w:pPr>
    </w:p>
    <w:p>
      <w:pPr>
        <w:pStyle w:val="5"/>
        <w:rPr>
          <w:rFonts w:ascii="Times New Roman" w:hAnsi="Times New Roman" w:eastAsia="黑体" w:cs="Times New Roman"/>
          <w:sz w:val="24"/>
        </w:rPr>
      </w:pPr>
    </w:p>
    <w:p>
      <w:pPr>
        <w:pStyle w:val="5"/>
        <w:rPr>
          <w:rFonts w:ascii="Times New Roman" w:hAnsi="Times New Roman" w:eastAsia="黑体" w:cs="Times New Roman"/>
          <w:sz w:val="24"/>
        </w:rPr>
      </w:pPr>
    </w:p>
    <w:p/>
    <w:p>
      <w:pPr>
        <w:spacing w:line="440" w:lineRule="exact"/>
        <w:jc w:val="center"/>
      </w:pPr>
    </w:p>
    <w:p>
      <w:pPr>
        <w:topLinePunct/>
        <w:spacing w:line="440" w:lineRule="exact"/>
        <w:jc w:val="center"/>
        <w:rPr>
          <w:rFonts w:ascii="Times New Roman" w:hAnsi="Times New Roman" w:eastAsia="黑体" w:cs="Times New Roman"/>
          <w:sz w:val="28"/>
          <w:szCs w:val="28"/>
        </w:rPr>
      </w:pPr>
      <w:bookmarkStart w:id="122" w:name="_Toc23545_WPSOffice_Level1"/>
      <w:bookmarkStart w:id="123" w:name="_Toc7738_WPSOffice_Level1"/>
      <w:bookmarkStart w:id="124" w:name="_Toc10436_WPSOffice_Level1"/>
      <w:bookmarkStart w:id="125" w:name="_Toc31445_WPSOffice_Level1"/>
      <w:bookmarkStart w:id="126" w:name="_Toc22815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127" w:name="_Toc2807_WPSOffice_Level2"/>
      <w:bookmarkStart w:id="128" w:name="_Toc27600_WPSOffice_Level2"/>
      <w:r>
        <w:rPr>
          <w:rFonts w:ascii="Times New Roman" w:hAnsi="Times New Roman" w:eastAsia="黑体" w:cs="Times New Roman"/>
          <w:sz w:val="28"/>
          <w:szCs w:val="28"/>
        </w:rPr>
        <w:t>供应商基本情况</w:t>
      </w:r>
      <w:bookmarkEnd w:id="122"/>
      <w:bookmarkEnd w:id="123"/>
      <w:bookmarkEnd w:id="124"/>
      <w:bookmarkEnd w:id="125"/>
      <w:bookmarkEnd w:id="126"/>
      <w:bookmarkEnd w:id="127"/>
      <w:bookmarkEnd w:id="128"/>
    </w:p>
    <w:p>
      <w:pPr>
        <w:topLinePunct/>
        <w:spacing w:line="440" w:lineRule="exact"/>
        <w:jc w:val="center"/>
        <w:rPr>
          <w:rFonts w:ascii="Times New Roman" w:hAnsi="Times New Roman" w:cs="Times New Roman"/>
          <w:sz w:val="23"/>
          <w:szCs w:val="23"/>
        </w:rPr>
      </w:pPr>
    </w:p>
    <w:tbl>
      <w:tblPr>
        <w:tblStyle w:val="14"/>
        <w:tblW w:w="86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 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w:t>
            </w:r>
            <w:r>
              <w:rPr>
                <w:rFonts w:hint="eastAsia" w:ascii="Times New Roman" w:hAnsi="Times New Roman" w:cs="Times New Roman"/>
                <w:szCs w:val="21"/>
              </w:rPr>
              <w:t xml:space="preserve"> </w:t>
            </w:r>
            <w:r>
              <w:rPr>
                <w:rFonts w:ascii="Times New Roman" w:hAnsi="Times New Roman" w:cs="Times New Roman"/>
                <w:szCs w:val="21"/>
              </w:rPr>
              <w:t>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  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、授权代理证明材料（如有）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6"/>
        <w:spacing w:line="240" w:lineRule="atLeast"/>
        <w:ind w:left="560" w:leftChars="0" w:right="-512" w:rightChars="-244" w:hanging="560" w:hangingChars="200"/>
        <w:jc w:val="center"/>
        <w:rPr>
          <w:rFonts w:ascii="Times New Roman" w:hAnsi="Times New Roman" w:cs="Times New Roman"/>
          <w:sz w:val="28"/>
          <w:szCs w:val="28"/>
        </w:rPr>
      </w:pPr>
      <w:bookmarkStart w:id="129" w:name="_Toc5072_WPSOffice_Level1"/>
      <w:bookmarkStart w:id="130" w:name="_Toc3772_WPSOffice_Level1"/>
      <w:bookmarkStart w:id="131" w:name="_Toc1452_WPSOffice_Level1"/>
      <w:bookmarkStart w:id="132" w:name="_Toc18547_WPSOffice_Level1"/>
      <w:bookmarkStart w:id="133" w:name="_Toc19004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、近年类似业绩情况</w:t>
      </w:r>
      <w:bookmarkEnd w:id="129"/>
      <w:bookmarkEnd w:id="130"/>
      <w:bookmarkEnd w:id="131"/>
      <w:bookmarkEnd w:id="132"/>
      <w:bookmarkEnd w:id="133"/>
    </w:p>
    <w:tbl>
      <w:tblPr>
        <w:tblStyle w:val="14"/>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供货地点</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供货期</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供货型号及数量</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2、业绩证明材料要求：</w:t>
      </w:r>
      <w:r>
        <w:rPr>
          <w:rFonts w:hint="eastAsia" w:ascii="Times New Roman" w:hAnsi="Times New Roman" w:eastAsia="黑体" w:cs="Times New Roman"/>
          <w:szCs w:val="21"/>
          <w:u w:val="single"/>
        </w:rPr>
        <w:t>近3年内销售车辆的合同或其他证明材料</w:t>
      </w:r>
      <w:r>
        <w:rPr>
          <w:rFonts w:hint="eastAsia" w:ascii="Times New Roman" w:hAnsi="Times New Roman" w:eastAsia="黑体" w:cs="Times New Roman"/>
          <w:szCs w:val="21"/>
        </w:rPr>
        <w:t>。</w:t>
      </w:r>
    </w:p>
    <w:p>
      <w:pPr>
        <w:widowControl/>
        <w:autoSpaceDE w:val="0"/>
        <w:autoSpaceDN w:val="0"/>
        <w:spacing w:line="360" w:lineRule="atLeast"/>
        <w:ind w:left="420" w:leftChars="200"/>
        <w:textAlignment w:val="bottom"/>
        <w:rPr>
          <w:rFonts w:ascii="Times New Roman" w:hAnsi="Times New Roman" w:eastAsia="黑体" w:cs="Times New Roman"/>
          <w:sz w:val="27"/>
          <w:szCs w:val="27"/>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pPr>
        <w:pStyle w:val="5"/>
        <w:rPr>
          <w:rFonts w:ascii="Times New Roman" w:hAnsi="Times New Roman"/>
        </w:rPr>
      </w:pPr>
    </w:p>
    <w:p>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pPr>
        <w:tabs>
          <w:tab w:val="left" w:pos="3060"/>
        </w:tabs>
        <w:topLinePunct/>
        <w:spacing w:line="440" w:lineRule="exact"/>
        <w:jc w:val="center"/>
        <w:rPr>
          <w:rFonts w:ascii="Times New Roman" w:hAnsi="Times New Roman" w:eastAsia="黑体" w:cs="Times New Roman"/>
          <w:sz w:val="28"/>
          <w:szCs w:val="28"/>
        </w:rPr>
      </w:pPr>
      <w:bookmarkStart w:id="134" w:name="_Toc9267_WPSOffice_Level1"/>
      <w:bookmarkStart w:id="135" w:name="_Toc3893_WPSOffice_Level1"/>
      <w:bookmarkStart w:id="136" w:name="_Toc5403_WPSOffice_Level1"/>
      <w:bookmarkStart w:id="137" w:name="_Toc12019_WPSOffice_Level1"/>
      <w:bookmarkStart w:id="138" w:name="_Toc30712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134"/>
      <w:bookmarkEnd w:id="135"/>
      <w:bookmarkEnd w:id="136"/>
      <w:bookmarkEnd w:id="137"/>
      <w:bookmarkEnd w:id="138"/>
    </w:p>
    <w:p>
      <w:pPr>
        <w:topLinePunct/>
        <w:spacing w:line="440" w:lineRule="exact"/>
        <w:rPr>
          <w:rFonts w:ascii="Times New Roman" w:hAnsi="Times New Roman" w:cs="Times New Roman"/>
          <w:bCs/>
          <w:sz w:val="23"/>
          <w:szCs w:val="23"/>
        </w:rPr>
      </w:pP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 目</w:t>
            </w:r>
          </w:p>
        </w:tc>
        <w:tc>
          <w:tcPr>
            <w:tcW w:w="4445"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向前追溯3年）供应商或其法定代表人有行贿犯罪行为</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pPr>
        <w:pStyle w:val="5"/>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pPr>
        <w:pStyle w:val="5"/>
        <w:jc w:val="right"/>
        <w:rPr>
          <w:u w:val="single"/>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pStyle w:val="5"/>
      </w:pPr>
    </w:p>
    <w:p>
      <w:pPr>
        <w:pStyle w:val="5"/>
        <w:spacing w:line="440" w:lineRule="exact"/>
        <w:rPr>
          <w:rFonts w:ascii="Times New Roman" w:hAnsi="Times New Roman" w:cs="Times New Roman"/>
          <w:sz w:val="24"/>
        </w:rPr>
      </w:pPr>
    </w:p>
    <w:p>
      <w:pPr>
        <w:spacing w:line="400" w:lineRule="atLeast"/>
      </w:pPr>
    </w:p>
    <w:p>
      <w:pPr>
        <w:pStyle w:val="5"/>
      </w:pPr>
    </w:p>
    <w:p>
      <w:pPr>
        <w:pStyle w:val="5"/>
      </w:pPr>
    </w:p>
    <w:p>
      <w:pPr>
        <w:pStyle w:val="5"/>
      </w:pPr>
    </w:p>
    <w:p>
      <w:pPr>
        <w:pStyle w:val="5"/>
      </w:pPr>
    </w:p>
    <w:p>
      <w:pPr>
        <w:pStyle w:val="5"/>
      </w:pPr>
    </w:p>
    <w:p>
      <w:pPr>
        <w:pStyle w:val="5"/>
      </w:pPr>
    </w:p>
    <w:p>
      <w:pPr>
        <w:pStyle w:val="5"/>
      </w:pPr>
    </w:p>
    <w:p>
      <w:pPr>
        <w:pStyle w:val="5"/>
        <w:jc w:val="center"/>
        <w:rPr>
          <w:b/>
          <w:bCs/>
          <w:sz w:val="28"/>
          <w:szCs w:val="28"/>
        </w:rPr>
      </w:pPr>
    </w:p>
    <w:p>
      <w:pPr>
        <w:pStyle w:val="5"/>
        <w:rPr>
          <w:b/>
          <w:bCs/>
          <w:sz w:val="28"/>
          <w:szCs w:val="28"/>
        </w:rPr>
      </w:pPr>
      <w:r>
        <w:rPr>
          <w:rFonts w:hint="eastAsia"/>
          <w:b/>
          <w:bCs/>
          <w:sz w:val="28"/>
          <w:szCs w:val="28"/>
        </w:rPr>
        <w:t xml:space="preserve">            七、技术性能（质量）指标描述</w:t>
      </w:r>
    </w:p>
    <w:p>
      <w:pPr>
        <w:pStyle w:val="5"/>
        <w:ind w:firstLine="1687" w:firstLineChars="600"/>
        <w:rPr>
          <w:b/>
          <w:bCs/>
          <w:sz w:val="28"/>
          <w:szCs w:val="28"/>
        </w:rPr>
      </w:pPr>
      <w:r>
        <w:rPr>
          <w:rFonts w:hint="eastAsia"/>
          <w:b/>
          <w:bCs/>
          <w:sz w:val="28"/>
          <w:szCs w:val="28"/>
        </w:rPr>
        <w:t>八、供货方案</w:t>
      </w:r>
    </w:p>
    <w:p>
      <w:pPr>
        <w:pStyle w:val="5"/>
        <w:ind w:firstLine="1687" w:firstLineChars="600"/>
        <w:rPr>
          <w:b/>
          <w:bCs/>
          <w:sz w:val="28"/>
          <w:szCs w:val="28"/>
        </w:rPr>
      </w:pPr>
      <w:r>
        <w:rPr>
          <w:rFonts w:hint="eastAsia"/>
          <w:b/>
          <w:bCs/>
          <w:sz w:val="28"/>
          <w:szCs w:val="28"/>
        </w:rPr>
        <w:t>九、其他材料</w:t>
      </w:r>
    </w:p>
    <w:p>
      <w:pPr>
        <w:pStyle w:val="5"/>
        <w:jc w:val="center"/>
        <w:rPr>
          <w:b/>
          <w:bCs/>
          <w:sz w:val="28"/>
          <w:szCs w:val="28"/>
        </w:rPr>
      </w:pPr>
    </w:p>
    <w:p>
      <w:pPr>
        <w:pStyle w:val="5"/>
      </w:pPr>
    </w:p>
    <w:p>
      <w:pPr>
        <w:pStyle w:val="5"/>
      </w:pPr>
    </w:p>
    <w:p>
      <w:pPr>
        <w:pStyle w:val="5"/>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Fang Song">
    <w:altName w:val="宋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粗黑宋简体">
    <w:altName w:val="宋体"/>
    <w:panose1 w:val="00000000000000000000"/>
    <w:charset w:val="86"/>
    <w:family w:val="auto"/>
    <w:pitch w:val="default"/>
    <w:sig w:usb0="00000000" w:usb1="00000000" w:usb2="00000012"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Wingdings 2">
    <w:altName w:val="Webdings"/>
    <w:panose1 w:val="00000000000000000000"/>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ebdings">
    <w:panose1 w:val="05030102010509060703"/>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path/>
          <v:fill on="f" focussize="0,0"/>
          <v:stroke on="f" joinstyle="miter"/>
          <v:imagedata o:title=""/>
          <o:lock v:ext="edit"/>
          <v:textbox inset="0mm,0mm,0mm,0mm" style="mso-fit-shape-to-text:t;">
            <w:txbxContent>
              <w:p>
                <w:pPr>
                  <w:pStyle w:val="10"/>
                  <w:ind w:firstLine="360"/>
                </w:pPr>
                <w:r>
                  <w:fldChar w:fldCharType="begin"/>
                </w:r>
                <w:r>
                  <w:instrText xml:space="preserve"> PAGE  \* MERGEFORMAT </w:instrText>
                </w:r>
                <w:r>
                  <w:fldChar w:fldCharType="separate"/>
                </w:r>
                <w:r>
                  <w:t>20</w:t>
                </w:r>
                <w:r>
                  <w:fldChar w:fldCharType="end"/>
                </w:r>
              </w:p>
            </w:txbxContent>
          </v:textbox>
        </v:shape>
      </w:pict>
    </w:r>
  </w:p>
  <w:p>
    <w:pPr>
      <w:pStyle w:val="10"/>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2"/>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744C2C4"/>
    <w:multiLevelType w:val="singleLevel"/>
    <w:tmpl w:val="2744C2C4"/>
    <w:lvl w:ilvl="0" w:tentative="0">
      <w:start w:val="1"/>
      <w:numFmt w:val="chineseCounting"/>
      <w:suff w:val="nothing"/>
      <w:lvlText w:val="%1、"/>
      <w:lvlJc w:val="left"/>
      <w:rPr>
        <w:rFonts w:hint="eastAsia"/>
      </w:rPr>
    </w:lvl>
  </w:abstractNum>
  <w:abstractNum w:abstractNumId="2">
    <w:nsid w:val="2E95D47B"/>
    <w:multiLevelType w:val="singleLevel"/>
    <w:tmpl w:val="2E95D47B"/>
    <w:lvl w:ilvl="0" w:tentative="0">
      <w:start w:val="1"/>
      <w:numFmt w:val="decimal"/>
      <w:pStyle w:val="3"/>
      <w:suff w:val="nothing"/>
      <w:lvlText w:val="%1．"/>
      <w:lvlJc w:val="left"/>
      <w:pPr>
        <w:ind w:left="17" w:firstLine="400"/>
      </w:pPr>
      <w:rPr>
        <w:rFonts w:hint="default"/>
      </w:rPr>
    </w:lvl>
  </w:abstractNum>
  <w:abstractNum w:abstractNumId="3">
    <w:nsid w:val="73354EE1"/>
    <w:multiLevelType w:val="singleLevel"/>
    <w:tmpl w:val="73354EE1"/>
    <w:lvl w:ilvl="0" w:tentative="0">
      <w:start w:val="4"/>
      <w:numFmt w:val="chineseCounting"/>
      <w:suff w:val="space"/>
      <w:lvlText w:val="第%1章"/>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Q1N2I3OGFmYzhhZmVlYzE5NzU4OTRlOWE3OTk4OWYifQ=="/>
  </w:docVars>
  <w:rsids>
    <w:rsidRoot w:val="00172A27"/>
    <w:rsid w:val="00002F2C"/>
    <w:rsid w:val="0007063F"/>
    <w:rsid w:val="000976CE"/>
    <w:rsid w:val="000A3150"/>
    <w:rsid w:val="000A31B9"/>
    <w:rsid w:val="000A5505"/>
    <w:rsid w:val="00100FBA"/>
    <w:rsid w:val="00163986"/>
    <w:rsid w:val="00172A27"/>
    <w:rsid w:val="00176B35"/>
    <w:rsid w:val="001D799F"/>
    <w:rsid w:val="00210A1D"/>
    <w:rsid w:val="00243FD0"/>
    <w:rsid w:val="00254CC9"/>
    <w:rsid w:val="00267CC9"/>
    <w:rsid w:val="00272678"/>
    <w:rsid w:val="002D15E3"/>
    <w:rsid w:val="00386AD9"/>
    <w:rsid w:val="003B4D41"/>
    <w:rsid w:val="004423E0"/>
    <w:rsid w:val="0047493A"/>
    <w:rsid w:val="00474F3B"/>
    <w:rsid w:val="004C3473"/>
    <w:rsid w:val="004D266E"/>
    <w:rsid w:val="004E6198"/>
    <w:rsid w:val="00524288"/>
    <w:rsid w:val="00575DB2"/>
    <w:rsid w:val="005F0141"/>
    <w:rsid w:val="0066706B"/>
    <w:rsid w:val="006D3EE2"/>
    <w:rsid w:val="007D1D5E"/>
    <w:rsid w:val="0085523D"/>
    <w:rsid w:val="008E200C"/>
    <w:rsid w:val="008E48E2"/>
    <w:rsid w:val="00902FDD"/>
    <w:rsid w:val="009130D0"/>
    <w:rsid w:val="00957F84"/>
    <w:rsid w:val="009F7982"/>
    <w:rsid w:val="00A20458"/>
    <w:rsid w:val="00A310B4"/>
    <w:rsid w:val="00A53CE8"/>
    <w:rsid w:val="00AB1BE1"/>
    <w:rsid w:val="00AD1B4E"/>
    <w:rsid w:val="00B00CD2"/>
    <w:rsid w:val="00B4325E"/>
    <w:rsid w:val="00BA1CAE"/>
    <w:rsid w:val="00BC4F5B"/>
    <w:rsid w:val="00C37215"/>
    <w:rsid w:val="00CE0381"/>
    <w:rsid w:val="00D54227"/>
    <w:rsid w:val="00D5721E"/>
    <w:rsid w:val="00D60F2E"/>
    <w:rsid w:val="00D90F3D"/>
    <w:rsid w:val="00DB6C58"/>
    <w:rsid w:val="00DC27AB"/>
    <w:rsid w:val="00DF5D9A"/>
    <w:rsid w:val="00E15CDF"/>
    <w:rsid w:val="00EB2C48"/>
    <w:rsid w:val="00F11BA7"/>
    <w:rsid w:val="00F25EBD"/>
    <w:rsid w:val="00F56741"/>
    <w:rsid w:val="00F62B9A"/>
    <w:rsid w:val="00FA07B1"/>
    <w:rsid w:val="00FE5446"/>
    <w:rsid w:val="01261938"/>
    <w:rsid w:val="01262A16"/>
    <w:rsid w:val="012911B4"/>
    <w:rsid w:val="014F219D"/>
    <w:rsid w:val="01516AAC"/>
    <w:rsid w:val="016467FF"/>
    <w:rsid w:val="016F3AE4"/>
    <w:rsid w:val="017275DD"/>
    <w:rsid w:val="01855CAC"/>
    <w:rsid w:val="01986FC9"/>
    <w:rsid w:val="01AC3423"/>
    <w:rsid w:val="01D26FB5"/>
    <w:rsid w:val="01D8197B"/>
    <w:rsid w:val="01E2793E"/>
    <w:rsid w:val="01FD7A87"/>
    <w:rsid w:val="01FF530F"/>
    <w:rsid w:val="01FF56C2"/>
    <w:rsid w:val="021722C6"/>
    <w:rsid w:val="021D04ED"/>
    <w:rsid w:val="023A11D8"/>
    <w:rsid w:val="024946D1"/>
    <w:rsid w:val="0250686A"/>
    <w:rsid w:val="028275B1"/>
    <w:rsid w:val="02B04EBD"/>
    <w:rsid w:val="02B7452C"/>
    <w:rsid w:val="02BF3353"/>
    <w:rsid w:val="02C60B85"/>
    <w:rsid w:val="02D65DED"/>
    <w:rsid w:val="02DC5CB3"/>
    <w:rsid w:val="02E96424"/>
    <w:rsid w:val="02F44385"/>
    <w:rsid w:val="03380757"/>
    <w:rsid w:val="033E575A"/>
    <w:rsid w:val="035042AD"/>
    <w:rsid w:val="035E0DBD"/>
    <w:rsid w:val="038226D6"/>
    <w:rsid w:val="03A33236"/>
    <w:rsid w:val="03B141EB"/>
    <w:rsid w:val="03C834BA"/>
    <w:rsid w:val="03CF1E15"/>
    <w:rsid w:val="03DF68F4"/>
    <w:rsid w:val="03ED0A2F"/>
    <w:rsid w:val="040E4592"/>
    <w:rsid w:val="04211E08"/>
    <w:rsid w:val="0428355D"/>
    <w:rsid w:val="042C3B1F"/>
    <w:rsid w:val="043920BF"/>
    <w:rsid w:val="04457667"/>
    <w:rsid w:val="04494E3A"/>
    <w:rsid w:val="04497378"/>
    <w:rsid w:val="045A4B7B"/>
    <w:rsid w:val="04642508"/>
    <w:rsid w:val="047A7331"/>
    <w:rsid w:val="04A248E7"/>
    <w:rsid w:val="04F42FC6"/>
    <w:rsid w:val="04FE2BE7"/>
    <w:rsid w:val="05175643"/>
    <w:rsid w:val="05267A29"/>
    <w:rsid w:val="052B12A4"/>
    <w:rsid w:val="053C0C8A"/>
    <w:rsid w:val="05435747"/>
    <w:rsid w:val="056E309F"/>
    <w:rsid w:val="057D77E1"/>
    <w:rsid w:val="05AE7642"/>
    <w:rsid w:val="05B33779"/>
    <w:rsid w:val="05CB4EDA"/>
    <w:rsid w:val="05D41D45"/>
    <w:rsid w:val="06233674"/>
    <w:rsid w:val="064F44F5"/>
    <w:rsid w:val="06750697"/>
    <w:rsid w:val="06CB49BC"/>
    <w:rsid w:val="07084811"/>
    <w:rsid w:val="072639A0"/>
    <w:rsid w:val="076562D9"/>
    <w:rsid w:val="076F25A8"/>
    <w:rsid w:val="07A10C59"/>
    <w:rsid w:val="07E23ADF"/>
    <w:rsid w:val="080D2DB2"/>
    <w:rsid w:val="082D0D5E"/>
    <w:rsid w:val="08315767"/>
    <w:rsid w:val="0858227F"/>
    <w:rsid w:val="086348CE"/>
    <w:rsid w:val="086B2D03"/>
    <w:rsid w:val="087D63B5"/>
    <w:rsid w:val="087E3A40"/>
    <w:rsid w:val="08852948"/>
    <w:rsid w:val="089B201D"/>
    <w:rsid w:val="08AC6280"/>
    <w:rsid w:val="08D840D9"/>
    <w:rsid w:val="0903431A"/>
    <w:rsid w:val="090B1608"/>
    <w:rsid w:val="091201C8"/>
    <w:rsid w:val="092D5CEC"/>
    <w:rsid w:val="09356F1F"/>
    <w:rsid w:val="094B5D5D"/>
    <w:rsid w:val="09501EDA"/>
    <w:rsid w:val="0973495D"/>
    <w:rsid w:val="09A07033"/>
    <w:rsid w:val="09A35E85"/>
    <w:rsid w:val="09EE28E7"/>
    <w:rsid w:val="09FB5804"/>
    <w:rsid w:val="0A054A0C"/>
    <w:rsid w:val="0A132DA4"/>
    <w:rsid w:val="0A223565"/>
    <w:rsid w:val="0A3641B0"/>
    <w:rsid w:val="0A3769B7"/>
    <w:rsid w:val="0A405B0B"/>
    <w:rsid w:val="0A6564B9"/>
    <w:rsid w:val="0A691D01"/>
    <w:rsid w:val="0AA52BD3"/>
    <w:rsid w:val="0AD4402F"/>
    <w:rsid w:val="0AEB315F"/>
    <w:rsid w:val="0B626F71"/>
    <w:rsid w:val="0B80123A"/>
    <w:rsid w:val="0B8C0B40"/>
    <w:rsid w:val="0BE53DBD"/>
    <w:rsid w:val="0BE74120"/>
    <w:rsid w:val="0BED5FBE"/>
    <w:rsid w:val="0C0263B2"/>
    <w:rsid w:val="0C210E8A"/>
    <w:rsid w:val="0C2D25CC"/>
    <w:rsid w:val="0C3A6DCE"/>
    <w:rsid w:val="0C3E71D6"/>
    <w:rsid w:val="0C471C14"/>
    <w:rsid w:val="0C735228"/>
    <w:rsid w:val="0C932008"/>
    <w:rsid w:val="0C954935"/>
    <w:rsid w:val="0CA64EC2"/>
    <w:rsid w:val="0CB101B0"/>
    <w:rsid w:val="0CB437FC"/>
    <w:rsid w:val="0CEE2538"/>
    <w:rsid w:val="0CFA2113"/>
    <w:rsid w:val="0D421699"/>
    <w:rsid w:val="0D491784"/>
    <w:rsid w:val="0D7116ED"/>
    <w:rsid w:val="0D741935"/>
    <w:rsid w:val="0D991923"/>
    <w:rsid w:val="0DA948D1"/>
    <w:rsid w:val="0DB937C0"/>
    <w:rsid w:val="0DE55C13"/>
    <w:rsid w:val="0E1B5754"/>
    <w:rsid w:val="0E2350DD"/>
    <w:rsid w:val="0E353D12"/>
    <w:rsid w:val="0E3945CC"/>
    <w:rsid w:val="0E3C6E1E"/>
    <w:rsid w:val="0EA438D6"/>
    <w:rsid w:val="0EAA59ED"/>
    <w:rsid w:val="0EC101C2"/>
    <w:rsid w:val="0EC70BFA"/>
    <w:rsid w:val="0EF55437"/>
    <w:rsid w:val="0F09600A"/>
    <w:rsid w:val="0F0F5A28"/>
    <w:rsid w:val="0F164219"/>
    <w:rsid w:val="0F342941"/>
    <w:rsid w:val="0F432E04"/>
    <w:rsid w:val="0F56600C"/>
    <w:rsid w:val="0F6C4862"/>
    <w:rsid w:val="0FDE4E7E"/>
    <w:rsid w:val="0FEE5277"/>
    <w:rsid w:val="10047D3E"/>
    <w:rsid w:val="1015385D"/>
    <w:rsid w:val="1048279D"/>
    <w:rsid w:val="1055158F"/>
    <w:rsid w:val="107348E1"/>
    <w:rsid w:val="107629EF"/>
    <w:rsid w:val="107B36EC"/>
    <w:rsid w:val="10B52E88"/>
    <w:rsid w:val="10B57A2C"/>
    <w:rsid w:val="10C56148"/>
    <w:rsid w:val="10D60168"/>
    <w:rsid w:val="10E350AF"/>
    <w:rsid w:val="11074842"/>
    <w:rsid w:val="11076A24"/>
    <w:rsid w:val="11215B9D"/>
    <w:rsid w:val="112B09BB"/>
    <w:rsid w:val="11463CD0"/>
    <w:rsid w:val="119B7A2E"/>
    <w:rsid w:val="119D73DC"/>
    <w:rsid w:val="119E13B5"/>
    <w:rsid w:val="11B93700"/>
    <w:rsid w:val="11CD0AF7"/>
    <w:rsid w:val="11F4632B"/>
    <w:rsid w:val="1206086B"/>
    <w:rsid w:val="12243423"/>
    <w:rsid w:val="12307DC9"/>
    <w:rsid w:val="12371F81"/>
    <w:rsid w:val="1237641B"/>
    <w:rsid w:val="12411CF0"/>
    <w:rsid w:val="12504999"/>
    <w:rsid w:val="125F4E85"/>
    <w:rsid w:val="12687563"/>
    <w:rsid w:val="12752E29"/>
    <w:rsid w:val="12845883"/>
    <w:rsid w:val="12857018"/>
    <w:rsid w:val="12887930"/>
    <w:rsid w:val="129B7928"/>
    <w:rsid w:val="12B73173"/>
    <w:rsid w:val="12C757F8"/>
    <w:rsid w:val="12E843CB"/>
    <w:rsid w:val="12EF29CB"/>
    <w:rsid w:val="12F86B39"/>
    <w:rsid w:val="1301017A"/>
    <w:rsid w:val="13251998"/>
    <w:rsid w:val="133036AC"/>
    <w:rsid w:val="133E53FC"/>
    <w:rsid w:val="135449DC"/>
    <w:rsid w:val="136A1724"/>
    <w:rsid w:val="13954387"/>
    <w:rsid w:val="13983E78"/>
    <w:rsid w:val="139D148E"/>
    <w:rsid w:val="13B7430D"/>
    <w:rsid w:val="13C659B5"/>
    <w:rsid w:val="13DE75EE"/>
    <w:rsid w:val="13E913A1"/>
    <w:rsid w:val="13EB2E20"/>
    <w:rsid w:val="13EE17CA"/>
    <w:rsid w:val="13F727DE"/>
    <w:rsid w:val="13FF26A7"/>
    <w:rsid w:val="143E047A"/>
    <w:rsid w:val="1461426A"/>
    <w:rsid w:val="146A70C1"/>
    <w:rsid w:val="146C639C"/>
    <w:rsid w:val="14722E55"/>
    <w:rsid w:val="147E68DB"/>
    <w:rsid w:val="1498179F"/>
    <w:rsid w:val="149D0A07"/>
    <w:rsid w:val="14B05D2F"/>
    <w:rsid w:val="14BA42FD"/>
    <w:rsid w:val="14E022F6"/>
    <w:rsid w:val="14F50F73"/>
    <w:rsid w:val="150A1554"/>
    <w:rsid w:val="15107F20"/>
    <w:rsid w:val="15131C97"/>
    <w:rsid w:val="152C615E"/>
    <w:rsid w:val="153122C9"/>
    <w:rsid w:val="154F540A"/>
    <w:rsid w:val="156752D2"/>
    <w:rsid w:val="15701602"/>
    <w:rsid w:val="15A85EC8"/>
    <w:rsid w:val="15B50DFE"/>
    <w:rsid w:val="15C36A4E"/>
    <w:rsid w:val="15F55102"/>
    <w:rsid w:val="16057AB2"/>
    <w:rsid w:val="16491459"/>
    <w:rsid w:val="164D19AE"/>
    <w:rsid w:val="16500A3A"/>
    <w:rsid w:val="16576E90"/>
    <w:rsid w:val="16664275"/>
    <w:rsid w:val="16F76C62"/>
    <w:rsid w:val="171001C9"/>
    <w:rsid w:val="17156A92"/>
    <w:rsid w:val="173B67EB"/>
    <w:rsid w:val="17555AF7"/>
    <w:rsid w:val="17606543"/>
    <w:rsid w:val="176850E1"/>
    <w:rsid w:val="1771268E"/>
    <w:rsid w:val="1781794F"/>
    <w:rsid w:val="17A72143"/>
    <w:rsid w:val="17D41059"/>
    <w:rsid w:val="17F9165D"/>
    <w:rsid w:val="17FB3776"/>
    <w:rsid w:val="18047A16"/>
    <w:rsid w:val="181C5AFE"/>
    <w:rsid w:val="18262EDC"/>
    <w:rsid w:val="183F653D"/>
    <w:rsid w:val="184B770B"/>
    <w:rsid w:val="18555ABF"/>
    <w:rsid w:val="187D188E"/>
    <w:rsid w:val="18965DF9"/>
    <w:rsid w:val="18BF79A2"/>
    <w:rsid w:val="18E118AF"/>
    <w:rsid w:val="19137AFC"/>
    <w:rsid w:val="193E2DCB"/>
    <w:rsid w:val="1943613C"/>
    <w:rsid w:val="19555BAF"/>
    <w:rsid w:val="196369C8"/>
    <w:rsid w:val="19913832"/>
    <w:rsid w:val="199C3B12"/>
    <w:rsid w:val="199F4D38"/>
    <w:rsid w:val="19B34DB1"/>
    <w:rsid w:val="19CC7A79"/>
    <w:rsid w:val="19DD457B"/>
    <w:rsid w:val="19F44957"/>
    <w:rsid w:val="19FD2538"/>
    <w:rsid w:val="1A156CFF"/>
    <w:rsid w:val="1A556EF5"/>
    <w:rsid w:val="1A6E148E"/>
    <w:rsid w:val="1A7926C3"/>
    <w:rsid w:val="1AFD2812"/>
    <w:rsid w:val="1B0362DF"/>
    <w:rsid w:val="1B0F6446"/>
    <w:rsid w:val="1B114875"/>
    <w:rsid w:val="1B2136A5"/>
    <w:rsid w:val="1B742B49"/>
    <w:rsid w:val="1B7A2038"/>
    <w:rsid w:val="1B8B6665"/>
    <w:rsid w:val="1BD6553D"/>
    <w:rsid w:val="1C3F1745"/>
    <w:rsid w:val="1C8702AB"/>
    <w:rsid w:val="1CAD29F5"/>
    <w:rsid w:val="1CCF5DA1"/>
    <w:rsid w:val="1CE41B29"/>
    <w:rsid w:val="1CE678EE"/>
    <w:rsid w:val="1CE93BA3"/>
    <w:rsid w:val="1CF6219E"/>
    <w:rsid w:val="1D011989"/>
    <w:rsid w:val="1D0835F7"/>
    <w:rsid w:val="1D1C4C9A"/>
    <w:rsid w:val="1D4078B0"/>
    <w:rsid w:val="1D4318D2"/>
    <w:rsid w:val="1D435A83"/>
    <w:rsid w:val="1D502683"/>
    <w:rsid w:val="1D582C93"/>
    <w:rsid w:val="1D5E1C8E"/>
    <w:rsid w:val="1D6A0A81"/>
    <w:rsid w:val="1D766BDC"/>
    <w:rsid w:val="1D862F93"/>
    <w:rsid w:val="1DC31AF1"/>
    <w:rsid w:val="1DCA0187"/>
    <w:rsid w:val="1DEE3EE6"/>
    <w:rsid w:val="1DEF15E5"/>
    <w:rsid w:val="1E4435A6"/>
    <w:rsid w:val="1E55695A"/>
    <w:rsid w:val="1E674B72"/>
    <w:rsid w:val="1E757DC6"/>
    <w:rsid w:val="1E997C45"/>
    <w:rsid w:val="1EB01493"/>
    <w:rsid w:val="1EB45B84"/>
    <w:rsid w:val="1EBA2EF4"/>
    <w:rsid w:val="1ED566BF"/>
    <w:rsid w:val="1F0079C8"/>
    <w:rsid w:val="1F1F765A"/>
    <w:rsid w:val="1F3233D2"/>
    <w:rsid w:val="1F8841C9"/>
    <w:rsid w:val="1F942DC6"/>
    <w:rsid w:val="1F9F7B9A"/>
    <w:rsid w:val="1FAD2A59"/>
    <w:rsid w:val="1FB47C90"/>
    <w:rsid w:val="1FC830F6"/>
    <w:rsid w:val="1FC84E78"/>
    <w:rsid w:val="1FF01965"/>
    <w:rsid w:val="1FFF49B3"/>
    <w:rsid w:val="200A49DA"/>
    <w:rsid w:val="2010615E"/>
    <w:rsid w:val="201E5705"/>
    <w:rsid w:val="202251F5"/>
    <w:rsid w:val="20293178"/>
    <w:rsid w:val="202E73DC"/>
    <w:rsid w:val="20350D4E"/>
    <w:rsid w:val="205B3A40"/>
    <w:rsid w:val="207A031A"/>
    <w:rsid w:val="209239FD"/>
    <w:rsid w:val="209A4709"/>
    <w:rsid w:val="20A32AD4"/>
    <w:rsid w:val="20B42C68"/>
    <w:rsid w:val="20C14537"/>
    <w:rsid w:val="20D03B7B"/>
    <w:rsid w:val="20D63C91"/>
    <w:rsid w:val="20F36B91"/>
    <w:rsid w:val="20F743F3"/>
    <w:rsid w:val="212159CA"/>
    <w:rsid w:val="21225095"/>
    <w:rsid w:val="212C16E5"/>
    <w:rsid w:val="21303DB9"/>
    <w:rsid w:val="21342A72"/>
    <w:rsid w:val="2136082C"/>
    <w:rsid w:val="213F7D3B"/>
    <w:rsid w:val="21427B7A"/>
    <w:rsid w:val="215373D7"/>
    <w:rsid w:val="217F414A"/>
    <w:rsid w:val="21957A4E"/>
    <w:rsid w:val="2197751D"/>
    <w:rsid w:val="21C3772E"/>
    <w:rsid w:val="21D11C50"/>
    <w:rsid w:val="21D449BD"/>
    <w:rsid w:val="21D55337"/>
    <w:rsid w:val="21EA5DD8"/>
    <w:rsid w:val="21FC1CC5"/>
    <w:rsid w:val="220F22ED"/>
    <w:rsid w:val="22105521"/>
    <w:rsid w:val="22290B71"/>
    <w:rsid w:val="22711268"/>
    <w:rsid w:val="228C37EE"/>
    <w:rsid w:val="228C6100"/>
    <w:rsid w:val="22A75A54"/>
    <w:rsid w:val="22AF24B4"/>
    <w:rsid w:val="22C3355D"/>
    <w:rsid w:val="22C75FB3"/>
    <w:rsid w:val="22F8181D"/>
    <w:rsid w:val="23201794"/>
    <w:rsid w:val="23202A87"/>
    <w:rsid w:val="23221CE5"/>
    <w:rsid w:val="23291D55"/>
    <w:rsid w:val="23331629"/>
    <w:rsid w:val="23470EA4"/>
    <w:rsid w:val="23533555"/>
    <w:rsid w:val="235C166E"/>
    <w:rsid w:val="23607DE2"/>
    <w:rsid w:val="2386246B"/>
    <w:rsid w:val="23A42CCD"/>
    <w:rsid w:val="23AD5156"/>
    <w:rsid w:val="23B03575"/>
    <w:rsid w:val="23B5629D"/>
    <w:rsid w:val="23C26E54"/>
    <w:rsid w:val="23DC1B5F"/>
    <w:rsid w:val="23E84E71"/>
    <w:rsid w:val="23F25D22"/>
    <w:rsid w:val="24202C55"/>
    <w:rsid w:val="243A6885"/>
    <w:rsid w:val="243B42AE"/>
    <w:rsid w:val="244637AD"/>
    <w:rsid w:val="249A29C0"/>
    <w:rsid w:val="24C22F3D"/>
    <w:rsid w:val="24C74E0F"/>
    <w:rsid w:val="24CC38EA"/>
    <w:rsid w:val="24E75819"/>
    <w:rsid w:val="24EA1E5C"/>
    <w:rsid w:val="25065F8E"/>
    <w:rsid w:val="2507530A"/>
    <w:rsid w:val="250B72D5"/>
    <w:rsid w:val="25216543"/>
    <w:rsid w:val="25225659"/>
    <w:rsid w:val="252C2973"/>
    <w:rsid w:val="2536191C"/>
    <w:rsid w:val="2537405D"/>
    <w:rsid w:val="25374EF4"/>
    <w:rsid w:val="258D1BDE"/>
    <w:rsid w:val="25AF4E68"/>
    <w:rsid w:val="25C23D6B"/>
    <w:rsid w:val="25C96113"/>
    <w:rsid w:val="25D12068"/>
    <w:rsid w:val="25D376ED"/>
    <w:rsid w:val="25E42F4C"/>
    <w:rsid w:val="25FB3A5A"/>
    <w:rsid w:val="26113D3D"/>
    <w:rsid w:val="262B2929"/>
    <w:rsid w:val="262D3499"/>
    <w:rsid w:val="26505959"/>
    <w:rsid w:val="267D6C16"/>
    <w:rsid w:val="26915AB0"/>
    <w:rsid w:val="26AC54AE"/>
    <w:rsid w:val="26AE35E3"/>
    <w:rsid w:val="26B24DF9"/>
    <w:rsid w:val="26CC5821"/>
    <w:rsid w:val="27040806"/>
    <w:rsid w:val="270A6B81"/>
    <w:rsid w:val="27224050"/>
    <w:rsid w:val="272D2D58"/>
    <w:rsid w:val="27544F2C"/>
    <w:rsid w:val="27573233"/>
    <w:rsid w:val="27656C35"/>
    <w:rsid w:val="276A7481"/>
    <w:rsid w:val="276C73E8"/>
    <w:rsid w:val="276F5392"/>
    <w:rsid w:val="276F78A4"/>
    <w:rsid w:val="27A22B9A"/>
    <w:rsid w:val="27CF3F23"/>
    <w:rsid w:val="27D33279"/>
    <w:rsid w:val="27E17707"/>
    <w:rsid w:val="2832016E"/>
    <w:rsid w:val="28332E82"/>
    <w:rsid w:val="285D5675"/>
    <w:rsid w:val="28945AD5"/>
    <w:rsid w:val="28CB2405"/>
    <w:rsid w:val="28E4564A"/>
    <w:rsid w:val="28FD4C25"/>
    <w:rsid w:val="297049A1"/>
    <w:rsid w:val="297E0D3E"/>
    <w:rsid w:val="298E4667"/>
    <w:rsid w:val="29AC15DA"/>
    <w:rsid w:val="2A1D6B49"/>
    <w:rsid w:val="2A2D265B"/>
    <w:rsid w:val="2A483311"/>
    <w:rsid w:val="2A587AE6"/>
    <w:rsid w:val="2A65738E"/>
    <w:rsid w:val="2A6C4DD8"/>
    <w:rsid w:val="2A734F7F"/>
    <w:rsid w:val="2A9758C1"/>
    <w:rsid w:val="2AA2330A"/>
    <w:rsid w:val="2AA4697C"/>
    <w:rsid w:val="2AA86D0F"/>
    <w:rsid w:val="2AB036B9"/>
    <w:rsid w:val="2AC0255C"/>
    <w:rsid w:val="2ACA3C75"/>
    <w:rsid w:val="2AD8248C"/>
    <w:rsid w:val="2AED63FF"/>
    <w:rsid w:val="2AF07C9E"/>
    <w:rsid w:val="2B0272F2"/>
    <w:rsid w:val="2B1C6134"/>
    <w:rsid w:val="2B416F31"/>
    <w:rsid w:val="2B547EAB"/>
    <w:rsid w:val="2B752198"/>
    <w:rsid w:val="2BA03472"/>
    <w:rsid w:val="2BC929C8"/>
    <w:rsid w:val="2BE307A7"/>
    <w:rsid w:val="2BE702F2"/>
    <w:rsid w:val="2BF62C74"/>
    <w:rsid w:val="2C2358E3"/>
    <w:rsid w:val="2C2E5A75"/>
    <w:rsid w:val="2C6721E1"/>
    <w:rsid w:val="2C6E3570"/>
    <w:rsid w:val="2C74409C"/>
    <w:rsid w:val="2C78559C"/>
    <w:rsid w:val="2C810713"/>
    <w:rsid w:val="2C8608B9"/>
    <w:rsid w:val="2CAE3CDD"/>
    <w:rsid w:val="2CCB157B"/>
    <w:rsid w:val="2CEE1A7D"/>
    <w:rsid w:val="2D044DD1"/>
    <w:rsid w:val="2D1C78E5"/>
    <w:rsid w:val="2D4633AE"/>
    <w:rsid w:val="2D491475"/>
    <w:rsid w:val="2D5E7110"/>
    <w:rsid w:val="2D6B3420"/>
    <w:rsid w:val="2D6B78B2"/>
    <w:rsid w:val="2D6B7AAF"/>
    <w:rsid w:val="2D702015"/>
    <w:rsid w:val="2D853AD8"/>
    <w:rsid w:val="2D8B655F"/>
    <w:rsid w:val="2DA41677"/>
    <w:rsid w:val="2DC03361"/>
    <w:rsid w:val="2DCE076A"/>
    <w:rsid w:val="2E022020"/>
    <w:rsid w:val="2E047F28"/>
    <w:rsid w:val="2E452391"/>
    <w:rsid w:val="2E47051C"/>
    <w:rsid w:val="2E5113E2"/>
    <w:rsid w:val="2E615AEB"/>
    <w:rsid w:val="2E704C0F"/>
    <w:rsid w:val="2E731311"/>
    <w:rsid w:val="2E821BE2"/>
    <w:rsid w:val="2EA24B90"/>
    <w:rsid w:val="2EA91D25"/>
    <w:rsid w:val="2EB44765"/>
    <w:rsid w:val="2EBF392D"/>
    <w:rsid w:val="2F087CAC"/>
    <w:rsid w:val="2F1C5807"/>
    <w:rsid w:val="2F1F1548"/>
    <w:rsid w:val="2F21432D"/>
    <w:rsid w:val="2F2233EF"/>
    <w:rsid w:val="2F4B6080"/>
    <w:rsid w:val="2F7170C3"/>
    <w:rsid w:val="2F7E56E8"/>
    <w:rsid w:val="2F8D4F86"/>
    <w:rsid w:val="2F910CF8"/>
    <w:rsid w:val="2F9A12C4"/>
    <w:rsid w:val="300C6F30"/>
    <w:rsid w:val="303B074A"/>
    <w:rsid w:val="303D10B7"/>
    <w:rsid w:val="305129F5"/>
    <w:rsid w:val="307716A4"/>
    <w:rsid w:val="308B267F"/>
    <w:rsid w:val="3091782D"/>
    <w:rsid w:val="309D35EF"/>
    <w:rsid w:val="30B3239E"/>
    <w:rsid w:val="30B66302"/>
    <w:rsid w:val="30B751B3"/>
    <w:rsid w:val="30EF615D"/>
    <w:rsid w:val="31393383"/>
    <w:rsid w:val="315C7C23"/>
    <w:rsid w:val="31837ABD"/>
    <w:rsid w:val="319770C5"/>
    <w:rsid w:val="31B10180"/>
    <w:rsid w:val="31CB160E"/>
    <w:rsid w:val="31DB2724"/>
    <w:rsid w:val="31DC0B3C"/>
    <w:rsid w:val="31DC7938"/>
    <w:rsid w:val="321D3A6E"/>
    <w:rsid w:val="321E14B7"/>
    <w:rsid w:val="32207767"/>
    <w:rsid w:val="32232959"/>
    <w:rsid w:val="322A23BC"/>
    <w:rsid w:val="322C733D"/>
    <w:rsid w:val="32313381"/>
    <w:rsid w:val="323B5665"/>
    <w:rsid w:val="323D1E9E"/>
    <w:rsid w:val="32472149"/>
    <w:rsid w:val="324C7EAF"/>
    <w:rsid w:val="32576155"/>
    <w:rsid w:val="32623A5F"/>
    <w:rsid w:val="327E6BC4"/>
    <w:rsid w:val="32A15D40"/>
    <w:rsid w:val="32A50A4A"/>
    <w:rsid w:val="32AF0F40"/>
    <w:rsid w:val="32D33D11"/>
    <w:rsid w:val="32E2300A"/>
    <w:rsid w:val="33035B90"/>
    <w:rsid w:val="3356659E"/>
    <w:rsid w:val="33880BEB"/>
    <w:rsid w:val="33A5118B"/>
    <w:rsid w:val="33A67436"/>
    <w:rsid w:val="33EF4F96"/>
    <w:rsid w:val="33FF7757"/>
    <w:rsid w:val="341866BA"/>
    <w:rsid w:val="34375518"/>
    <w:rsid w:val="345D7407"/>
    <w:rsid w:val="346C3B06"/>
    <w:rsid w:val="346C40F4"/>
    <w:rsid w:val="347809F2"/>
    <w:rsid w:val="34826A34"/>
    <w:rsid w:val="349D241F"/>
    <w:rsid w:val="34AD5AE7"/>
    <w:rsid w:val="34CD11F9"/>
    <w:rsid w:val="34D75A17"/>
    <w:rsid w:val="34DD44E6"/>
    <w:rsid w:val="35091493"/>
    <w:rsid w:val="351153E0"/>
    <w:rsid w:val="353335A8"/>
    <w:rsid w:val="35775243"/>
    <w:rsid w:val="357F680D"/>
    <w:rsid w:val="35841069"/>
    <w:rsid w:val="358620D9"/>
    <w:rsid w:val="35917F75"/>
    <w:rsid w:val="35C87EEC"/>
    <w:rsid w:val="35F02805"/>
    <w:rsid w:val="35FF3AF3"/>
    <w:rsid w:val="36341386"/>
    <w:rsid w:val="36343134"/>
    <w:rsid w:val="36351036"/>
    <w:rsid w:val="366828AD"/>
    <w:rsid w:val="368558B3"/>
    <w:rsid w:val="36876E6A"/>
    <w:rsid w:val="36980DD0"/>
    <w:rsid w:val="36B84F47"/>
    <w:rsid w:val="36C0156D"/>
    <w:rsid w:val="36C13293"/>
    <w:rsid w:val="36C75D65"/>
    <w:rsid w:val="36CF4BC1"/>
    <w:rsid w:val="36DD557A"/>
    <w:rsid w:val="36F23D6A"/>
    <w:rsid w:val="36F7295B"/>
    <w:rsid w:val="37022808"/>
    <w:rsid w:val="371B6C62"/>
    <w:rsid w:val="372D6CF1"/>
    <w:rsid w:val="3733163E"/>
    <w:rsid w:val="37555342"/>
    <w:rsid w:val="377A75FB"/>
    <w:rsid w:val="379940D4"/>
    <w:rsid w:val="37E57834"/>
    <w:rsid w:val="381E4BFD"/>
    <w:rsid w:val="38244BD5"/>
    <w:rsid w:val="382A0CE5"/>
    <w:rsid w:val="383261D0"/>
    <w:rsid w:val="38390ED6"/>
    <w:rsid w:val="385D1023"/>
    <w:rsid w:val="386437DF"/>
    <w:rsid w:val="38646884"/>
    <w:rsid w:val="38910860"/>
    <w:rsid w:val="389526CA"/>
    <w:rsid w:val="38973052"/>
    <w:rsid w:val="38AA38A9"/>
    <w:rsid w:val="38BA0741"/>
    <w:rsid w:val="38C64F92"/>
    <w:rsid w:val="38E005FB"/>
    <w:rsid w:val="38EA07D4"/>
    <w:rsid w:val="38F26FDE"/>
    <w:rsid w:val="38F60B75"/>
    <w:rsid w:val="390037A2"/>
    <w:rsid w:val="39151E6D"/>
    <w:rsid w:val="39241B86"/>
    <w:rsid w:val="39266477"/>
    <w:rsid w:val="39340E40"/>
    <w:rsid w:val="394E075C"/>
    <w:rsid w:val="39655B7A"/>
    <w:rsid w:val="397B3EA5"/>
    <w:rsid w:val="398E5251"/>
    <w:rsid w:val="398F73DC"/>
    <w:rsid w:val="39AE35FA"/>
    <w:rsid w:val="39B93DDF"/>
    <w:rsid w:val="39C01BBA"/>
    <w:rsid w:val="39FB793D"/>
    <w:rsid w:val="3A085BAA"/>
    <w:rsid w:val="3A2C2104"/>
    <w:rsid w:val="3A5C2715"/>
    <w:rsid w:val="3A5F5A7F"/>
    <w:rsid w:val="3A6A181A"/>
    <w:rsid w:val="3A8945B9"/>
    <w:rsid w:val="3AB3450A"/>
    <w:rsid w:val="3AB73885"/>
    <w:rsid w:val="3AB900AC"/>
    <w:rsid w:val="3ACE0125"/>
    <w:rsid w:val="3AD155B7"/>
    <w:rsid w:val="3AFA4DDD"/>
    <w:rsid w:val="3B0D79D3"/>
    <w:rsid w:val="3B2E1991"/>
    <w:rsid w:val="3B4162D7"/>
    <w:rsid w:val="3B41700C"/>
    <w:rsid w:val="3B4336D5"/>
    <w:rsid w:val="3B915C89"/>
    <w:rsid w:val="3BA252EB"/>
    <w:rsid w:val="3BBE774B"/>
    <w:rsid w:val="3BCA36FC"/>
    <w:rsid w:val="3BDB75C3"/>
    <w:rsid w:val="3BE253E0"/>
    <w:rsid w:val="3BFA097C"/>
    <w:rsid w:val="3BFB140F"/>
    <w:rsid w:val="3C047A4D"/>
    <w:rsid w:val="3C240561"/>
    <w:rsid w:val="3C276F93"/>
    <w:rsid w:val="3C4542ED"/>
    <w:rsid w:val="3C4A2F0A"/>
    <w:rsid w:val="3C4A37EC"/>
    <w:rsid w:val="3C6B2863"/>
    <w:rsid w:val="3C7E046A"/>
    <w:rsid w:val="3CA54D8C"/>
    <w:rsid w:val="3CC669C0"/>
    <w:rsid w:val="3CCC78C1"/>
    <w:rsid w:val="3D191420"/>
    <w:rsid w:val="3D4A7CCA"/>
    <w:rsid w:val="3D85696B"/>
    <w:rsid w:val="3DB644C5"/>
    <w:rsid w:val="3DC64303"/>
    <w:rsid w:val="3DFD18E3"/>
    <w:rsid w:val="3E234CC4"/>
    <w:rsid w:val="3E245647"/>
    <w:rsid w:val="3E31701C"/>
    <w:rsid w:val="3E5527E2"/>
    <w:rsid w:val="3E556F89"/>
    <w:rsid w:val="3E56477C"/>
    <w:rsid w:val="3E757051"/>
    <w:rsid w:val="3E9F6F1B"/>
    <w:rsid w:val="3ECD7713"/>
    <w:rsid w:val="3ECE2C18"/>
    <w:rsid w:val="3ED2673E"/>
    <w:rsid w:val="3EDF33BB"/>
    <w:rsid w:val="3EF003A8"/>
    <w:rsid w:val="3EF3475E"/>
    <w:rsid w:val="3F00274D"/>
    <w:rsid w:val="3F011EBB"/>
    <w:rsid w:val="3F22123C"/>
    <w:rsid w:val="3F2C6DCB"/>
    <w:rsid w:val="3F413CC5"/>
    <w:rsid w:val="3F514486"/>
    <w:rsid w:val="3F5F4471"/>
    <w:rsid w:val="3F993EC6"/>
    <w:rsid w:val="3FAA1ACA"/>
    <w:rsid w:val="3FAC2116"/>
    <w:rsid w:val="3FD61C25"/>
    <w:rsid w:val="3FFF04B0"/>
    <w:rsid w:val="401A5EF0"/>
    <w:rsid w:val="405F54C4"/>
    <w:rsid w:val="406A59E1"/>
    <w:rsid w:val="40891574"/>
    <w:rsid w:val="408E1FCA"/>
    <w:rsid w:val="4094170A"/>
    <w:rsid w:val="409D1676"/>
    <w:rsid w:val="40B13905"/>
    <w:rsid w:val="40B5317E"/>
    <w:rsid w:val="40DD107E"/>
    <w:rsid w:val="40E612A7"/>
    <w:rsid w:val="40E90FBF"/>
    <w:rsid w:val="40FD44FE"/>
    <w:rsid w:val="410D54FF"/>
    <w:rsid w:val="413E130B"/>
    <w:rsid w:val="414350DA"/>
    <w:rsid w:val="414810A7"/>
    <w:rsid w:val="415C79E3"/>
    <w:rsid w:val="415D190C"/>
    <w:rsid w:val="4173688E"/>
    <w:rsid w:val="417807D9"/>
    <w:rsid w:val="417C30B2"/>
    <w:rsid w:val="41807BEB"/>
    <w:rsid w:val="418854CC"/>
    <w:rsid w:val="418D27F5"/>
    <w:rsid w:val="4196330C"/>
    <w:rsid w:val="419A74AF"/>
    <w:rsid w:val="41A0193C"/>
    <w:rsid w:val="41AC141A"/>
    <w:rsid w:val="41EB3A9E"/>
    <w:rsid w:val="42002BF2"/>
    <w:rsid w:val="421C1817"/>
    <w:rsid w:val="422229E2"/>
    <w:rsid w:val="42833550"/>
    <w:rsid w:val="4287634C"/>
    <w:rsid w:val="42AD6748"/>
    <w:rsid w:val="42C45FF8"/>
    <w:rsid w:val="42CA1067"/>
    <w:rsid w:val="42CF5359"/>
    <w:rsid w:val="42E04203"/>
    <w:rsid w:val="42E12896"/>
    <w:rsid w:val="42E505D4"/>
    <w:rsid w:val="42E63A7F"/>
    <w:rsid w:val="43117778"/>
    <w:rsid w:val="431C55A9"/>
    <w:rsid w:val="43541CB0"/>
    <w:rsid w:val="43C3015A"/>
    <w:rsid w:val="43C646E2"/>
    <w:rsid w:val="43E04637"/>
    <w:rsid w:val="43FA55C2"/>
    <w:rsid w:val="43FE6560"/>
    <w:rsid w:val="44190C7C"/>
    <w:rsid w:val="442315C3"/>
    <w:rsid w:val="442E38B9"/>
    <w:rsid w:val="44335CBE"/>
    <w:rsid w:val="443F05B7"/>
    <w:rsid w:val="444157D5"/>
    <w:rsid w:val="445A46AE"/>
    <w:rsid w:val="445E0231"/>
    <w:rsid w:val="44845A57"/>
    <w:rsid w:val="44951CA9"/>
    <w:rsid w:val="44A5291F"/>
    <w:rsid w:val="44AB6CB7"/>
    <w:rsid w:val="44CF75B8"/>
    <w:rsid w:val="44F46B32"/>
    <w:rsid w:val="45093F8F"/>
    <w:rsid w:val="450C5377"/>
    <w:rsid w:val="45163319"/>
    <w:rsid w:val="451D378A"/>
    <w:rsid w:val="451D5F36"/>
    <w:rsid w:val="45341E5B"/>
    <w:rsid w:val="454A41A9"/>
    <w:rsid w:val="454F1443"/>
    <w:rsid w:val="45676AE6"/>
    <w:rsid w:val="456B64DA"/>
    <w:rsid w:val="4582210E"/>
    <w:rsid w:val="45A61A3F"/>
    <w:rsid w:val="45E2131C"/>
    <w:rsid w:val="45FA358E"/>
    <w:rsid w:val="46160757"/>
    <w:rsid w:val="464B77D1"/>
    <w:rsid w:val="46511F57"/>
    <w:rsid w:val="465C2B7E"/>
    <w:rsid w:val="465E5E2D"/>
    <w:rsid w:val="466678D8"/>
    <w:rsid w:val="46681CC5"/>
    <w:rsid w:val="46722845"/>
    <w:rsid w:val="467C4DAF"/>
    <w:rsid w:val="46854413"/>
    <w:rsid w:val="46A317CE"/>
    <w:rsid w:val="46AA3BAF"/>
    <w:rsid w:val="46AA5F14"/>
    <w:rsid w:val="46BD2CD2"/>
    <w:rsid w:val="46CA2A30"/>
    <w:rsid w:val="46D7142B"/>
    <w:rsid w:val="46E55EA9"/>
    <w:rsid w:val="46E903F6"/>
    <w:rsid w:val="46ED5A14"/>
    <w:rsid w:val="46F655FA"/>
    <w:rsid w:val="4702061D"/>
    <w:rsid w:val="471A08BE"/>
    <w:rsid w:val="47331E12"/>
    <w:rsid w:val="473B610C"/>
    <w:rsid w:val="47407861"/>
    <w:rsid w:val="47433D85"/>
    <w:rsid w:val="47452DBC"/>
    <w:rsid w:val="475E2707"/>
    <w:rsid w:val="47735576"/>
    <w:rsid w:val="4791799F"/>
    <w:rsid w:val="47AD212B"/>
    <w:rsid w:val="482C2022"/>
    <w:rsid w:val="483010A5"/>
    <w:rsid w:val="48550397"/>
    <w:rsid w:val="488A3975"/>
    <w:rsid w:val="48984334"/>
    <w:rsid w:val="48D51D8B"/>
    <w:rsid w:val="490C5F75"/>
    <w:rsid w:val="490E2202"/>
    <w:rsid w:val="49211746"/>
    <w:rsid w:val="494D3655"/>
    <w:rsid w:val="49523BA5"/>
    <w:rsid w:val="4977131A"/>
    <w:rsid w:val="497C02CF"/>
    <w:rsid w:val="499C3073"/>
    <w:rsid w:val="49CF224E"/>
    <w:rsid w:val="49D0227E"/>
    <w:rsid w:val="49DD0F1D"/>
    <w:rsid w:val="49E20D34"/>
    <w:rsid w:val="4A02212D"/>
    <w:rsid w:val="4A1A4DC2"/>
    <w:rsid w:val="4A236E05"/>
    <w:rsid w:val="4A38409F"/>
    <w:rsid w:val="4A3B0ADD"/>
    <w:rsid w:val="4A40153A"/>
    <w:rsid w:val="4A4205DF"/>
    <w:rsid w:val="4A6E2D05"/>
    <w:rsid w:val="4A71640B"/>
    <w:rsid w:val="4A7324BF"/>
    <w:rsid w:val="4A937223"/>
    <w:rsid w:val="4AC54B94"/>
    <w:rsid w:val="4ACB00B3"/>
    <w:rsid w:val="4ADC0ED2"/>
    <w:rsid w:val="4AE048A4"/>
    <w:rsid w:val="4B0938BE"/>
    <w:rsid w:val="4B412DF2"/>
    <w:rsid w:val="4B4E0FC1"/>
    <w:rsid w:val="4B620219"/>
    <w:rsid w:val="4B7D39AD"/>
    <w:rsid w:val="4B8143F2"/>
    <w:rsid w:val="4B9565DB"/>
    <w:rsid w:val="4B9B20E7"/>
    <w:rsid w:val="4BBB3EF9"/>
    <w:rsid w:val="4BC624A8"/>
    <w:rsid w:val="4BD00645"/>
    <w:rsid w:val="4C196BFC"/>
    <w:rsid w:val="4C547C35"/>
    <w:rsid w:val="4C9849BC"/>
    <w:rsid w:val="4CDC10F5"/>
    <w:rsid w:val="4CE67327"/>
    <w:rsid w:val="4CEB61EE"/>
    <w:rsid w:val="4D2321D9"/>
    <w:rsid w:val="4D3E1390"/>
    <w:rsid w:val="4D42128E"/>
    <w:rsid w:val="4D4B4FC8"/>
    <w:rsid w:val="4D506F55"/>
    <w:rsid w:val="4D5A057B"/>
    <w:rsid w:val="4D5E1FDB"/>
    <w:rsid w:val="4D640D09"/>
    <w:rsid w:val="4D6C0912"/>
    <w:rsid w:val="4D902EEE"/>
    <w:rsid w:val="4D934E46"/>
    <w:rsid w:val="4D981DA3"/>
    <w:rsid w:val="4D9D220A"/>
    <w:rsid w:val="4D9D441E"/>
    <w:rsid w:val="4DAB5909"/>
    <w:rsid w:val="4DCD56A8"/>
    <w:rsid w:val="4DE81D79"/>
    <w:rsid w:val="4DF243BC"/>
    <w:rsid w:val="4DFA2A5E"/>
    <w:rsid w:val="4DFD580F"/>
    <w:rsid w:val="4E0B01FE"/>
    <w:rsid w:val="4E2B0F4F"/>
    <w:rsid w:val="4E4E3891"/>
    <w:rsid w:val="4E5A1F9A"/>
    <w:rsid w:val="4E870795"/>
    <w:rsid w:val="4E9D1C1C"/>
    <w:rsid w:val="4EAF1CC4"/>
    <w:rsid w:val="4EC70016"/>
    <w:rsid w:val="4ED4505D"/>
    <w:rsid w:val="4EEF6771"/>
    <w:rsid w:val="4EF06D1A"/>
    <w:rsid w:val="4F1C0D87"/>
    <w:rsid w:val="4F264CBC"/>
    <w:rsid w:val="4F2A6E15"/>
    <w:rsid w:val="4F3772ED"/>
    <w:rsid w:val="4F444103"/>
    <w:rsid w:val="4F4B5944"/>
    <w:rsid w:val="4F701229"/>
    <w:rsid w:val="4FBD2661"/>
    <w:rsid w:val="4FC31B69"/>
    <w:rsid w:val="4FD712A8"/>
    <w:rsid w:val="4FEE5452"/>
    <w:rsid w:val="5039019E"/>
    <w:rsid w:val="50527900"/>
    <w:rsid w:val="5065178E"/>
    <w:rsid w:val="50695D0B"/>
    <w:rsid w:val="5099030C"/>
    <w:rsid w:val="50F639B0"/>
    <w:rsid w:val="51117EE4"/>
    <w:rsid w:val="51210DA2"/>
    <w:rsid w:val="5126104F"/>
    <w:rsid w:val="512B60B4"/>
    <w:rsid w:val="513118E7"/>
    <w:rsid w:val="51694722"/>
    <w:rsid w:val="517F61AE"/>
    <w:rsid w:val="51995C82"/>
    <w:rsid w:val="51A0391C"/>
    <w:rsid w:val="51B556AE"/>
    <w:rsid w:val="51C621E0"/>
    <w:rsid w:val="51D05EF0"/>
    <w:rsid w:val="51D92A34"/>
    <w:rsid w:val="51DC4954"/>
    <w:rsid w:val="51F6040A"/>
    <w:rsid w:val="524508D0"/>
    <w:rsid w:val="52505342"/>
    <w:rsid w:val="525647CE"/>
    <w:rsid w:val="526E6852"/>
    <w:rsid w:val="527A442A"/>
    <w:rsid w:val="52A665A4"/>
    <w:rsid w:val="52A9097C"/>
    <w:rsid w:val="52B54EDC"/>
    <w:rsid w:val="52BB5061"/>
    <w:rsid w:val="52C939F0"/>
    <w:rsid w:val="52EC44CE"/>
    <w:rsid w:val="530323B4"/>
    <w:rsid w:val="5314011E"/>
    <w:rsid w:val="53202F66"/>
    <w:rsid w:val="533539DF"/>
    <w:rsid w:val="53653F46"/>
    <w:rsid w:val="536C1D08"/>
    <w:rsid w:val="537431C5"/>
    <w:rsid w:val="5392540C"/>
    <w:rsid w:val="53A019B1"/>
    <w:rsid w:val="53B3034F"/>
    <w:rsid w:val="540A11ED"/>
    <w:rsid w:val="542410D3"/>
    <w:rsid w:val="54293AD9"/>
    <w:rsid w:val="54442A7B"/>
    <w:rsid w:val="54550AD6"/>
    <w:rsid w:val="545C1D7C"/>
    <w:rsid w:val="54865517"/>
    <w:rsid w:val="54990450"/>
    <w:rsid w:val="54C55B73"/>
    <w:rsid w:val="54D46102"/>
    <w:rsid w:val="54E43FB4"/>
    <w:rsid w:val="55256219"/>
    <w:rsid w:val="554B0189"/>
    <w:rsid w:val="5558452D"/>
    <w:rsid w:val="5594183F"/>
    <w:rsid w:val="55971945"/>
    <w:rsid w:val="559B399C"/>
    <w:rsid w:val="55AA7B8D"/>
    <w:rsid w:val="55AC6D33"/>
    <w:rsid w:val="55B607A1"/>
    <w:rsid w:val="55C477FF"/>
    <w:rsid w:val="55CE57AE"/>
    <w:rsid w:val="55F30092"/>
    <w:rsid w:val="55F92F01"/>
    <w:rsid w:val="562927CE"/>
    <w:rsid w:val="56332CEF"/>
    <w:rsid w:val="56A75605"/>
    <w:rsid w:val="56D51695"/>
    <w:rsid w:val="56E01E7C"/>
    <w:rsid w:val="56FF2C87"/>
    <w:rsid w:val="57083261"/>
    <w:rsid w:val="576725D2"/>
    <w:rsid w:val="576C4D9E"/>
    <w:rsid w:val="57735468"/>
    <w:rsid w:val="57877110"/>
    <w:rsid w:val="57880667"/>
    <w:rsid w:val="57AC473C"/>
    <w:rsid w:val="57D845B0"/>
    <w:rsid w:val="58033794"/>
    <w:rsid w:val="58212766"/>
    <w:rsid w:val="583B5BED"/>
    <w:rsid w:val="5842572D"/>
    <w:rsid w:val="584B2C50"/>
    <w:rsid w:val="58575B08"/>
    <w:rsid w:val="5862192B"/>
    <w:rsid w:val="589A07FB"/>
    <w:rsid w:val="58B74D14"/>
    <w:rsid w:val="58B947D2"/>
    <w:rsid w:val="58BE1D95"/>
    <w:rsid w:val="58C064D2"/>
    <w:rsid w:val="59020C98"/>
    <w:rsid w:val="591D6DEF"/>
    <w:rsid w:val="5943073B"/>
    <w:rsid w:val="5960288A"/>
    <w:rsid w:val="5971108F"/>
    <w:rsid w:val="59866F57"/>
    <w:rsid w:val="59A76356"/>
    <w:rsid w:val="59B368E2"/>
    <w:rsid w:val="59BA5642"/>
    <w:rsid w:val="59E76BAA"/>
    <w:rsid w:val="59F519D4"/>
    <w:rsid w:val="59FA54CF"/>
    <w:rsid w:val="5A050A6E"/>
    <w:rsid w:val="5A5A6A53"/>
    <w:rsid w:val="5A8149E6"/>
    <w:rsid w:val="5A9A1081"/>
    <w:rsid w:val="5ABD6DE3"/>
    <w:rsid w:val="5ABE4B4A"/>
    <w:rsid w:val="5AC01401"/>
    <w:rsid w:val="5AC7420B"/>
    <w:rsid w:val="5AE34D92"/>
    <w:rsid w:val="5AE825BC"/>
    <w:rsid w:val="5AF2343A"/>
    <w:rsid w:val="5B1001B5"/>
    <w:rsid w:val="5B3120DF"/>
    <w:rsid w:val="5B411CCC"/>
    <w:rsid w:val="5B505F2C"/>
    <w:rsid w:val="5B520346"/>
    <w:rsid w:val="5B53605F"/>
    <w:rsid w:val="5B811F6C"/>
    <w:rsid w:val="5B966550"/>
    <w:rsid w:val="5BA26C0E"/>
    <w:rsid w:val="5BB81586"/>
    <w:rsid w:val="5BCF6F3C"/>
    <w:rsid w:val="5BD55463"/>
    <w:rsid w:val="5BD64EC0"/>
    <w:rsid w:val="5C0576EE"/>
    <w:rsid w:val="5C562B00"/>
    <w:rsid w:val="5C7E0D7E"/>
    <w:rsid w:val="5CC6567E"/>
    <w:rsid w:val="5CD77A98"/>
    <w:rsid w:val="5CE37710"/>
    <w:rsid w:val="5CE44D90"/>
    <w:rsid w:val="5CF47502"/>
    <w:rsid w:val="5D0E5BDE"/>
    <w:rsid w:val="5D291F54"/>
    <w:rsid w:val="5D3E0BA9"/>
    <w:rsid w:val="5D955364"/>
    <w:rsid w:val="5D9E3405"/>
    <w:rsid w:val="5D9E59B3"/>
    <w:rsid w:val="5DC11D4B"/>
    <w:rsid w:val="5DCD4A29"/>
    <w:rsid w:val="5DCD542B"/>
    <w:rsid w:val="5DCE2C07"/>
    <w:rsid w:val="5DCF2540"/>
    <w:rsid w:val="5DDE0A36"/>
    <w:rsid w:val="5DE9733D"/>
    <w:rsid w:val="5DED6180"/>
    <w:rsid w:val="5DF72B16"/>
    <w:rsid w:val="5E02670B"/>
    <w:rsid w:val="5E0771FD"/>
    <w:rsid w:val="5E08794E"/>
    <w:rsid w:val="5E133B66"/>
    <w:rsid w:val="5E443FAD"/>
    <w:rsid w:val="5E746342"/>
    <w:rsid w:val="5E85744A"/>
    <w:rsid w:val="5E8D3F43"/>
    <w:rsid w:val="5E9D79FE"/>
    <w:rsid w:val="5EA07701"/>
    <w:rsid w:val="5EA85BE5"/>
    <w:rsid w:val="5EB01642"/>
    <w:rsid w:val="5EB75285"/>
    <w:rsid w:val="5EBC30A5"/>
    <w:rsid w:val="5F341672"/>
    <w:rsid w:val="5F530CCB"/>
    <w:rsid w:val="5F8538FA"/>
    <w:rsid w:val="5FCA04E2"/>
    <w:rsid w:val="5FEB2D87"/>
    <w:rsid w:val="5FEC48FC"/>
    <w:rsid w:val="5FF92694"/>
    <w:rsid w:val="60094922"/>
    <w:rsid w:val="600E1AEF"/>
    <w:rsid w:val="600E2211"/>
    <w:rsid w:val="601A2B45"/>
    <w:rsid w:val="60247FFD"/>
    <w:rsid w:val="60257BC8"/>
    <w:rsid w:val="602F511B"/>
    <w:rsid w:val="604A5077"/>
    <w:rsid w:val="605F2621"/>
    <w:rsid w:val="60A14466"/>
    <w:rsid w:val="60AE1BB1"/>
    <w:rsid w:val="60AF1518"/>
    <w:rsid w:val="60DD22F5"/>
    <w:rsid w:val="60E42733"/>
    <w:rsid w:val="6107582C"/>
    <w:rsid w:val="613B0074"/>
    <w:rsid w:val="6153428A"/>
    <w:rsid w:val="617873BF"/>
    <w:rsid w:val="617C7F2C"/>
    <w:rsid w:val="61980250"/>
    <w:rsid w:val="61AD3C17"/>
    <w:rsid w:val="61D740F7"/>
    <w:rsid w:val="6228683D"/>
    <w:rsid w:val="624C2A38"/>
    <w:rsid w:val="626F30E7"/>
    <w:rsid w:val="62756CE9"/>
    <w:rsid w:val="6294722E"/>
    <w:rsid w:val="62A5774A"/>
    <w:rsid w:val="62B660C6"/>
    <w:rsid w:val="62BE1E54"/>
    <w:rsid w:val="62E56056"/>
    <w:rsid w:val="62FE3F08"/>
    <w:rsid w:val="63023C14"/>
    <w:rsid w:val="63295801"/>
    <w:rsid w:val="63416D0D"/>
    <w:rsid w:val="63776804"/>
    <w:rsid w:val="638B6757"/>
    <w:rsid w:val="639E2905"/>
    <w:rsid w:val="63B502AA"/>
    <w:rsid w:val="63E266D5"/>
    <w:rsid w:val="63E91B17"/>
    <w:rsid w:val="63F83E99"/>
    <w:rsid w:val="63FF46D7"/>
    <w:rsid w:val="641C2867"/>
    <w:rsid w:val="642F4426"/>
    <w:rsid w:val="64381701"/>
    <w:rsid w:val="6443381E"/>
    <w:rsid w:val="64487C27"/>
    <w:rsid w:val="644940AB"/>
    <w:rsid w:val="645C7B76"/>
    <w:rsid w:val="648D7D30"/>
    <w:rsid w:val="64BD6E2A"/>
    <w:rsid w:val="64C67E05"/>
    <w:rsid w:val="64CD176A"/>
    <w:rsid w:val="64CD2B19"/>
    <w:rsid w:val="64CF0127"/>
    <w:rsid w:val="64DA2E60"/>
    <w:rsid w:val="64E831B8"/>
    <w:rsid w:val="64F55695"/>
    <w:rsid w:val="65047D30"/>
    <w:rsid w:val="65283AF6"/>
    <w:rsid w:val="653D0C4B"/>
    <w:rsid w:val="65440D8C"/>
    <w:rsid w:val="6564571B"/>
    <w:rsid w:val="65656A70"/>
    <w:rsid w:val="6574328C"/>
    <w:rsid w:val="658D79B1"/>
    <w:rsid w:val="65921AA2"/>
    <w:rsid w:val="65B5189C"/>
    <w:rsid w:val="65C073EA"/>
    <w:rsid w:val="65E06B45"/>
    <w:rsid w:val="664E5351"/>
    <w:rsid w:val="66503496"/>
    <w:rsid w:val="66595BE2"/>
    <w:rsid w:val="668B6FEC"/>
    <w:rsid w:val="669453A6"/>
    <w:rsid w:val="669974CF"/>
    <w:rsid w:val="66A31B35"/>
    <w:rsid w:val="66AD6467"/>
    <w:rsid w:val="66AE3981"/>
    <w:rsid w:val="66EC3A82"/>
    <w:rsid w:val="66EC6C75"/>
    <w:rsid w:val="66ED6329"/>
    <w:rsid w:val="67112E9A"/>
    <w:rsid w:val="6721791E"/>
    <w:rsid w:val="67271ECB"/>
    <w:rsid w:val="67343B0C"/>
    <w:rsid w:val="674943E2"/>
    <w:rsid w:val="6777089F"/>
    <w:rsid w:val="67C76B90"/>
    <w:rsid w:val="67CA34BA"/>
    <w:rsid w:val="6817492F"/>
    <w:rsid w:val="6841155D"/>
    <w:rsid w:val="68733E51"/>
    <w:rsid w:val="68920D3E"/>
    <w:rsid w:val="689E075E"/>
    <w:rsid w:val="68A33F3C"/>
    <w:rsid w:val="68B0223F"/>
    <w:rsid w:val="68BA4B9D"/>
    <w:rsid w:val="68D12A13"/>
    <w:rsid w:val="68E44CD3"/>
    <w:rsid w:val="690374EE"/>
    <w:rsid w:val="6923160C"/>
    <w:rsid w:val="692F3612"/>
    <w:rsid w:val="692F4C62"/>
    <w:rsid w:val="695F3098"/>
    <w:rsid w:val="69692F41"/>
    <w:rsid w:val="69760518"/>
    <w:rsid w:val="698A554F"/>
    <w:rsid w:val="698E456E"/>
    <w:rsid w:val="699A4896"/>
    <w:rsid w:val="69A45301"/>
    <w:rsid w:val="69B43BB5"/>
    <w:rsid w:val="69D35325"/>
    <w:rsid w:val="69EB2EF3"/>
    <w:rsid w:val="69F56C12"/>
    <w:rsid w:val="6A09181B"/>
    <w:rsid w:val="6A2B6A7F"/>
    <w:rsid w:val="6A2E5B11"/>
    <w:rsid w:val="6A3B678C"/>
    <w:rsid w:val="6A4C25E5"/>
    <w:rsid w:val="6A515F00"/>
    <w:rsid w:val="6A772442"/>
    <w:rsid w:val="6A7A34D3"/>
    <w:rsid w:val="6AA0506A"/>
    <w:rsid w:val="6ADD5CBB"/>
    <w:rsid w:val="6AF15144"/>
    <w:rsid w:val="6AF26B3F"/>
    <w:rsid w:val="6B5A7CCF"/>
    <w:rsid w:val="6B76074D"/>
    <w:rsid w:val="6B804D34"/>
    <w:rsid w:val="6B922CD6"/>
    <w:rsid w:val="6B9532DD"/>
    <w:rsid w:val="6B9C79D2"/>
    <w:rsid w:val="6BBA19E4"/>
    <w:rsid w:val="6BDA6111"/>
    <w:rsid w:val="6C0356D1"/>
    <w:rsid w:val="6C0E3E06"/>
    <w:rsid w:val="6C3B2D82"/>
    <w:rsid w:val="6C7F32C4"/>
    <w:rsid w:val="6C9C3206"/>
    <w:rsid w:val="6CAB3449"/>
    <w:rsid w:val="6CD965DD"/>
    <w:rsid w:val="6CE100C0"/>
    <w:rsid w:val="6CE564FB"/>
    <w:rsid w:val="6CF12000"/>
    <w:rsid w:val="6CF56B79"/>
    <w:rsid w:val="6D337893"/>
    <w:rsid w:val="6D407B93"/>
    <w:rsid w:val="6D527549"/>
    <w:rsid w:val="6D7A5E4E"/>
    <w:rsid w:val="6D8B5E4D"/>
    <w:rsid w:val="6DA90B58"/>
    <w:rsid w:val="6DB0119C"/>
    <w:rsid w:val="6DBA1D0E"/>
    <w:rsid w:val="6DBC0C33"/>
    <w:rsid w:val="6DED3E1E"/>
    <w:rsid w:val="6DEF7D9D"/>
    <w:rsid w:val="6E2C2401"/>
    <w:rsid w:val="6E4E2C42"/>
    <w:rsid w:val="6E5227E6"/>
    <w:rsid w:val="6E602800"/>
    <w:rsid w:val="6E6510F1"/>
    <w:rsid w:val="6E680A74"/>
    <w:rsid w:val="6E98497B"/>
    <w:rsid w:val="6ED06B4B"/>
    <w:rsid w:val="6F060E0B"/>
    <w:rsid w:val="6F5959E9"/>
    <w:rsid w:val="6F7D4D72"/>
    <w:rsid w:val="6F7E1F74"/>
    <w:rsid w:val="6F9A4119"/>
    <w:rsid w:val="6F9B47D1"/>
    <w:rsid w:val="6FB12692"/>
    <w:rsid w:val="6FBF6389"/>
    <w:rsid w:val="6FC753E3"/>
    <w:rsid w:val="6FD01291"/>
    <w:rsid w:val="6FF26B30"/>
    <w:rsid w:val="70490565"/>
    <w:rsid w:val="70811112"/>
    <w:rsid w:val="70A71BC5"/>
    <w:rsid w:val="70CC3C5C"/>
    <w:rsid w:val="70CD60C5"/>
    <w:rsid w:val="70CE1A68"/>
    <w:rsid w:val="70E66DDE"/>
    <w:rsid w:val="70FA6D46"/>
    <w:rsid w:val="71017ADB"/>
    <w:rsid w:val="71031D6E"/>
    <w:rsid w:val="710D33C2"/>
    <w:rsid w:val="711D5D49"/>
    <w:rsid w:val="717C7F55"/>
    <w:rsid w:val="71867FE1"/>
    <w:rsid w:val="71E53DA7"/>
    <w:rsid w:val="71F31E7E"/>
    <w:rsid w:val="71F83650"/>
    <w:rsid w:val="721B697B"/>
    <w:rsid w:val="7273599D"/>
    <w:rsid w:val="729C5D0C"/>
    <w:rsid w:val="72A51655"/>
    <w:rsid w:val="72AA05BD"/>
    <w:rsid w:val="72B33B48"/>
    <w:rsid w:val="72BD6B75"/>
    <w:rsid w:val="73253CEE"/>
    <w:rsid w:val="732A6942"/>
    <w:rsid w:val="735077C2"/>
    <w:rsid w:val="73614861"/>
    <w:rsid w:val="73B65107"/>
    <w:rsid w:val="73CD1828"/>
    <w:rsid w:val="73E62FB9"/>
    <w:rsid w:val="73E9784B"/>
    <w:rsid w:val="73EE7FAE"/>
    <w:rsid w:val="73F0718E"/>
    <w:rsid w:val="73FB6A64"/>
    <w:rsid w:val="74070CA0"/>
    <w:rsid w:val="74534933"/>
    <w:rsid w:val="74700DEC"/>
    <w:rsid w:val="747B5DF7"/>
    <w:rsid w:val="7481099D"/>
    <w:rsid w:val="748E118B"/>
    <w:rsid w:val="74B57A32"/>
    <w:rsid w:val="74D64864"/>
    <w:rsid w:val="74E16D8B"/>
    <w:rsid w:val="74E6272A"/>
    <w:rsid w:val="74F9435F"/>
    <w:rsid w:val="75151909"/>
    <w:rsid w:val="751C632F"/>
    <w:rsid w:val="752C0B88"/>
    <w:rsid w:val="75366D02"/>
    <w:rsid w:val="75494F9F"/>
    <w:rsid w:val="756248C1"/>
    <w:rsid w:val="75762B98"/>
    <w:rsid w:val="75871A0B"/>
    <w:rsid w:val="75991092"/>
    <w:rsid w:val="759A22AD"/>
    <w:rsid w:val="759B5E27"/>
    <w:rsid w:val="75A17997"/>
    <w:rsid w:val="75A5137D"/>
    <w:rsid w:val="75A572D1"/>
    <w:rsid w:val="75E62317"/>
    <w:rsid w:val="761335AB"/>
    <w:rsid w:val="76373B59"/>
    <w:rsid w:val="764510FA"/>
    <w:rsid w:val="765B6B67"/>
    <w:rsid w:val="765F6F55"/>
    <w:rsid w:val="7662726E"/>
    <w:rsid w:val="7682346D"/>
    <w:rsid w:val="769578ED"/>
    <w:rsid w:val="769B5423"/>
    <w:rsid w:val="76B356B1"/>
    <w:rsid w:val="76D600D5"/>
    <w:rsid w:val="76E04FCA"/>
    <w:rsid w:val="76ED6DCB"/>
    <w:rsid w:val="771F3907"/>
    <w:rsid w:val="774D70B5"/>
    <w:rsid w:val="77711DFB"/>
    <w:rsid w:val="77791211"/>
    <w:rsid w:val="777A22DF"/>
    <w:rsid w:val="77A870F8"/>
    <w:rsid w:val="77C853D2"/>
    <w:rsid w:val="77CB6284"/>
    <w:rsid w:val="77D9063B"/>
    <w:rsid w:val="77E56373"/>
    <w:rsid w:val="77EB0093"/>
    <w:rsid w:val="78153E6C"/>
    <w:rsid w:val="78192D15"/>
    <w:rsid w:val="78474B5C"/>
    <w:rsid w:val="78EF0B61"/>
    <w:rsid w:val="78FC7191"/>
    <w:rsid w:val="79053EE1"/>
    <w:rsid w:val="79232B20"/>
    <w:rsid w:val="79714322"/>
    <w:rsid w:val="797B741B"/>
    <w:rsid w:val="7983555C"/>
    <w:rsid w:val="798B1010"/>
    <w:rsid w:val="798C63B0"/>
    <w:rsid w:val="799F241C"/>
    <w:rsid w:val="79F253C4"/>
    <w:rsid w:val="79F31054"/>
    <w:rsid w:val="7A214ED9"/>
    <w:rsid w:val="7A263D9D"/>
    <w:rsid w:val="7A2D254D"/>
    <w:rsid w:val="7A3C22D1"/>
    <w:rsid w:val="7A6D1D61"/>
    <w:rsid w:val="7A6E4C98"/>
    <w:rsid w:val="7A8B4514"/>
    <w:rsid w:val="7A94102F"/>
    <w:rsid w:val="7AA13DC8"/>
    <w:rsid w:val="7ABE62BC"/>
    <w:rsid w:val="7AC22E37"/>
    <w:rsid w:val="7B046CE2"/>
    <w:rsid w:val="7B0574E9"/>
    <w:rsid w:val="7B091377"/>
    <w:rsid w:val="7B0C2AC3"/>
    <w:rsid w:val="7B367327"/>
    <w:rsid w:val="7B5E2AA7"/>
    <w:rsid w:val="7B61226F"/>
    <w:rsid w:val="7B643D62"/>
    <w:rsid w:val="7B7535A0"/>
    <w:rsid w:val="7BA571A1"/>
    <w:rsid w:val="7BDF31DE"/>
    <w:rsid w:val="7BE20537"/>
    <w:rsid w:val="7BEE776A"/>
    <w:rsid w:val="7BF7759F"/>
    <w:rsid w:val="7C285A07"/>
    <w:rsid w:val="7C2C4A60"/>
    <w:rsid w:val="7C366D83"/>
    <w:rsid w:val="7C384135"/>
    <w:rsid w:val="7C686C61"/>
    <w:rsid w:val="7CAE35FB"/>
    <w:rsid w:val="7CB163F4"/>
    <w:rsid w:val="7CB84091"/>
    <w:rsid w:val="7CD4053F"/>
    <w:rsid w:val="7CE00658"/>
    <w:rsid w:val="7CE359F5"/>
    <w:rsid w:val="7D3B6CFC"/>
    <w:rsid w:val="7D3C710B"/>
    <w:rsid w:val="7D646F8A"/>
    <w:rsid w:val="7D650780"/>
    <w:rsid w:val="7D796EE5"/>
    <w:rsid w:val="7D947886"/>
    <w:rsid w:val="7DBD1010"/>
    <w:rsid w:val="7DCD375D"/>
    <w:rsid w:val="7DE91C2E"/>
    <w:rsid w:val="7DF144DE"/>
    <w:rsid w:val="7DFA36D3"/>
    <w:rsid w:val="7E0247C5"/>
    <w:rsid w:val="7E2146D8"/>
    <w:rsid w:val="7E3D10ED"/>
    <w:rsid w:val="7E70004F"/>
    <w:rsid w:val="7E876E7F"/>
    <w:rsid w:val="7E8D2CD0"/>
    <w:rsid w:val="7E910E7F"/>
    <w:rsid w:val="7EA64FD4"/>
    <w:rsid w:val="7EA652E1"/>
    <w:rsid w:val="7EAD7C73"/>
    <w:rsid w:val="7EB93A9E"/>
    <w:rsid w:val="7ED4259F"/>
    <w:rsid w:val="7ED656C1"/>
    <w:rsid w:val="7EE94F58"/>
    <w:rsid w:val="7EF11A57"/>
    <w:rsid w:val="7F493FF9"/>
    <w:rsid w:val="7F5B6C76"/>
    <w:rsid w:val="7F5D05D8"/>
    <w:rsid w:val="7F642CFF"/>
    <w:rsid w:val="7F7D5010"/>
    <w:rsid w:val="7F857E0B"/>
    <w:rsid w:val="7F957214"/>
    <w:rsid w:val="7FA01DE8"/>
    <w:rsid w:val="7FA254D6"/>
    <w:rsid w:val="7FEA0ADA"/>
    <w:rsid w:val="7FEE3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3">
    <w:name w:val="heading 2"/>
    <w:basedOn w:val="1"/>
    <w:next w:val="1"/>
    <w:link w:val="23"/>
    <w:autoRedefine/>
    <w:qFormat/>
    <w:uiPriority w:val="0"/>
    <w:pPr>
      <w:keepNext/>
      <w:keepLines/>
      <w:numPr>
        <w:ilvl w:val="0"/>
        <w:numId w:val="2"/>
      </w:numPr>
      <w:spacing w:line="360" w:lineRule="auto"/>
      <w:outlineLvl w:val="1"/>
    </w:pPr>
    <w:rPr>
      <w:rFonts w:ascii="Arial" w:hAnsi="Arial"/>
      <w:b/>
      <w:bCs/>
      <w:sz w:val="28"/>
      <w:szCs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autoRedefine/>
    <w:qFormat/>
    <w:uiPriority w:val="0"/>
    <w:pPr>
      <w:spacing w:after="120"/>
    </w:p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Plain Text"/>
    <w:basedOn w:val="1"/>
    <w:autoRedefine/>
    <w:qFormat/>
    <w:uiPriority w:val="99"/>
    <w:rPr>
      <w:rFonts w:ascii="宋体" w:hAnsi="Courier New"/>
      <w:szCs w:val="20"/>
    </w:rPr>
  </w:style>
  <w:style w:type="paragraph" w:styleId="9">
    <w:name w:val="Balloon Text"/>
    <w:basedOn w:val="1"/>
    <w:link w:val="39"/>
    <w:autoRedefine/>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link w:val="40"/>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spacing w:beforeAutospacing="1" w:afterAutospacing="1"/>
      <w:jc w:val="left"/>
    </w:pPr>
    <w:rPr>
      <w:rFonts w:cs="Times New Roman"/>
      <w:kern w:val="0"/>
      <w:sz w:val="24"/>
    </w:rPr>
  </w:style>
  <w:style w:type="paragraph" w:styleId="13">
    <w:name w:val="Body Text First Indent 2"/>
    <w:basedOn w:val="6"/>
    <w:unhideWhenUsed/>
    <w:qFormat/>
    <w:uiPriority w:val="99"/>
    <w:pPr>
      <w:ind w:firstLine="420" w:firstLineChars="200"/>
    </w:pPr>
    <w:rPr>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FollowedHyperlink"/>
    <w:basedOn w:val="16"/>
    <w:qFormat/>
    <w:uiPriority w:val="0"/>
    <w:rPr>
      <w:rFonts w:hint="eastAsia" w:ascii="微软雅黑" w:hAnsi="微软雅黑" w:eastAsia="微软雅黑" w:cs="微软雅黑"/>
      <w:color w:val="323232"/>
      <w:sz w:val="21"/>
      <w:szCs w:val="21"/>
      <w:u w:val="none"/>
    </w:rPr>
  </w:style>
  <w:style w:type="character" w:styleId="19">
    <w:name w:val="Hyperlink"/>
    <w:basedOn w:val="16"/>
    <w:qFormat/>
    <w:uiPriority w:val="0"/>
    <w:rPr>
      <w:color w:val="0000FF"/>
      <w:u w:val="single"/>
    </w:rPr>
  </w:style>
  <w:style w:type="paragraph" w:customStyle="1" w:styleId="20">
    <w:name w:val="WPSOffice手动目录 1"/>
    <w:qFormat/>
    <w:uiPriority w:val="0"/>
    <w:rPr>
      <w:rFonts w:asciiTheme="minorHAnsi" w:hAnsiTheme="minorHAnsi" w:eastAsiaTheme="minorEastAsia" w:cstheme="minorBidi"/>
      <w:lang w:val="en-US" w:eastAsia="zh-CN" w:bidi="ar-SA"/>
    </w:rPr>
  </w:style>
  <w:style w:type="paragraph" w:customStyle="1" w:styleId="21">
    <w:name w:val="Default"/>
    <w:autoRedefine/>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2">
    <w:name w:val="正文 题目"/>
    <w:basedOn w:val="1"/>
    <w:autoRedefine/>
    <w:qFormat/>
    <w:uiPriority w:val="0"/>
    <w:pPr>
      <w:jc w:val="center"/>
    </w:pPr>
    <w:rPr>
      <w:rFonts w:ascii="黑体" w:hAnsi="黑体" w:eastAsia="黑体"/>
      <w:sz w:val="28"/>
    </w:rPr>
  </w:style>
  <w:style w:type="character" w:customStyle="1" w:styleId="23">
    <w:name w:val="标题 2 Char"/>
    <w:link w:val="3"/>
    <w:autoRedefine/>
    <w:qFormat/>
    <w:uiPriority w:val="0"/>
    <w:rPr>
      <w:rFonts w:ascii="Arial" w:hAnsi="Arial"/>
      <w:b/>
      <w:bCs/>
      <w:sz w:val="28"/>
      <w:szCs w:val="32"/>
    </w:rPr>
  </w:style>
  <w:style w:type="character" w:customStyle="1" w:styleId="24">
    <w:name w:val="font01"/>
    <w:basedOn w:val="16"/>
    <w:autoRedefine/>
    <w:qFormat/>
    <w:uiPriority w:val="0"/>
    <w:rPr>
      <w:rFonts w:hint="eastAsia" w:ascii="宋体" w:hAnsi="宋体" w:eastAsia="宋体" w:cs="宋体"/>
      <w:color w:val="000000"/>
      <w:sz w:val="20"/>
      <w:szCs w:val="20"/>
      <w:u w:val="none"/>
    </w:rPr>
  </w:style>
  <w:style w:type="character" w:customStyle="1" w:styleId="25">
    <w:name w:val="font31"/>
    <w:basedOn w:val="16"/>
    <w:autoRedefine/>
    <w:qFormat/>
    <w:uiPriority w:val="0"/>
    <w:rPr>
      <w:rFonts w:hint="eastAsia" w:ascii="宋体" w:hAnsi="宋体" w:eastAsia="宋体" w:cs="宋体"/>
      <w:color w:val="000000"/>
      <w:sz w:val="24"/>
      <w:szCs w:val="24"/>
      <w:u w:val="none"/>
    </w:rPr>
  </w:style>
  <w:style w:type="character" w:customStyle="1" w:styleId="26">
    <w:name w:val="font61"/>
    <w:basedOn w:val="16"/>
    <w:autoRedefine/>
    <w:qFormat/>
    <w:uiPriority w:val="0"/>
    <w:rPr>
      <w:rFonts w:hint="default" w:ascii="Times New Roman" w:hAnsi="Times New Roman" w:cs="Times New Roman"/>
      <w:color w:val="000000"/>
      <w:sz w:val="24"/>
      <w:szCs w:val="24"/>
      <w:u w:val="none"/>
    </w:rPr>
  </w:style>
  <w:style w:type="character" w:customStyle="1" w:styleId="27">
    <w:name w:val="font11"/>
    <w:basedOn w:val="16"/>
    <w:autoRedefine/>
    <w:qFormat/>
    <w:uiPriority w:val="0"/>
    <w:rPr>
      <w:rFonts w:hint="eastAsia" w:ascii="宋体" w:hAnsi="宋体" w:eastAsia="宋体" w:cs="宋体"/>
      <w:color w:val="000000"/>
      <w:sz w:val="24"/>
      <w:szCs w:val="24"/>
      <w:u w:val="none"/>
    </w:rPr>
  </w:style>
  <w:style w:type="character" w:customStyle="1" w:styleId="28">
    <w:name w:val="font51"/>
    <w:basedOn w:val="16"/>
    <w:autoRedefine/>
    <w:qFormat/>
    <w:uiPriority w:val="0"/>
    <w:rPr>
      <w:rFonts w:ascii="Calibri" w:hAnsi="Calibri" w:cs="Calibri"/>
      <w:color w:val="000000"/>
      <w:sz w:val="24"/>
      <w:szCs w:val="24"/>
      <w:u w:val="none"/>
    </w:rPr>
  </w:style>
  <w:style w:type="character" w:customStyle="1" w:styleId="29">
    <w:name w:val="font21"/>
    <w:basedOn w:val="16"/>
    <w:autoRedefine/>
    <w:qFormat/>
    <w:uiPriority w:val="0"/>
    <w:rPr>
      <w:rFonts w:hint="eastAsia" w:ascii="宋体" w:hAnsi="宋体" w:eastAsia="宋体" w:cs="宋体"/>
      <w:b/>
      <w:bCs/>
      <w:color w:val="000000"/>
      <w:sz w:val="20"/>
      <w:szCs w:val="20"/>
      <w:u w:val="none"/>
    </w:rPr>
  </w:style>
  <w:style w:type="character" w:customStyle="1" w:styleId="30">
    <w:name w:val="font81"/>
    <w:basedOn w:val="16"/>
    <w:autoRedefine/>
    <w:qFormat/>
    <w:uiPriority w:val="0"/>
    <w:rPr>
      <w:rFonts w:hint="default" w:ascii="Times New Roman" w:hAnsi="Times New Roman" w:cs="Times New Roman"/>
      <w:b/>
      <w:bCs/>
      <w:color w:val="000000"/>
      <w:sz w:val="20"/>
      <w:szCs w:val="20"/>
      <w:u w:val="none"/>
    </w:rPr>
  </w:style>
  <w:style w:type="character" w:customStyle="1" w:styleId="31">
    <w:name w:val="font41"/>
    <w:basedOn w:val="16"/>
    <w:autoRedefine/>
    <w:qFormat/>
    <w:uiPriority w:val="0"/>
    <w:rPr>
      <w:rFonts w:hint="eastAsia" w:ascii="宋体" w:hAnsi="宋体" w:eastAsia="宋体" w:cs="宋体"/>
      <w:color w:val="000000"/>
      <w:sz w:val="20"/>
      <w:szCs w:val="20"/>
      <w:u w:val="none"/>
    </w:rPr>
  </w:style>
  <w:style w:type="character" w:customStyle="1" w:styleId="32">
    <w:name w:val="font71"/>
    <w:basedOn w:val="16"/>
    <w:autoRedefine/>
    <w:qFormat/>
    <w:uiPriority w:val="0"/>
    <w:rPr>
      <w:rFonts w:hint="eastAsia" w:ascii="宋体" w:hAnsi="宋体" w:eastAsia="宋体" w:cs="宋体"/>
      <w:b/>
      <w:bCs/>
      <w:color w:val="000000"/>
      <w:sz w:val="20"/>
      <w:szCs w:val="20"/>
      <w:u w:val="none"/>
      <w:vertAlign w:val="superscript"/>
    </w:rPr>
  </w:style>
  <w:style w:type="character" w:customStyle="1" w:styleId="33">
    <w:name w:val="hover52"/>
    <w:basedOn w:val="16"/>
    <w:autoRedefine/>
    <w:qFormat/>
    <w:uiPriority w:val="0"/>
    <w:rPr>
      <w:color w:val="D61521"/>
    </w:rPr>
  </w:style>
  <w:style w:type="character" w:customStyle="1" w:styleId="34">
    <w:name w:val="NormalCharacter"/>
    <w:autoRedefine/>
    <w:semiHidden/>
    <w:qFormat/>
    <w:uiPriority w:val="0"/>
  </w:style>
  <w:style w:type="paragraph" w:customStyle="1" w:styleId="35">
    <w:name w:val="Char Char Char Char Char Char Char1 Char"/>
    <w:basedOn w:val="1"/>
    <w:autoRedefine/>
    <w:qFormat/>
    <w:uiPriority w:val="0"/>
    <w:pPr>
      <w:jc w:val="left"/>
    </w:pPr>
    <w:rPr>
      <w:rFonts w:ascii="Tahoma" w:hAnsi="Tahoma"/>
      <w:sz w:val="24"/>
      <w:szCs w:val="20"/>
    </w:rPr>
  </w:style>
  <w:style w:type="paragraph" w:customStyle="1" w:styleId="36">
    <w:name w:val="UserStyle_1"/>
    <w:basedOn w:val="1"/>
    <w:autoRedefine/>
    <w:qFormat/>
    <w:uiPriority w:val="0"/>
    <w:rPr>
      <w:rFonts w:ascii="宋体" w:hAnsi="宋体"/>
      <w:lang w:val="zh-CN" w:bidi="zh-CN"/>
    </w:rPr>
  </w:style>
  <w:style w:type="paragraph" w:customStyle="1" w:styleId="37">
    <w:name w:val="Table Paragraph"/>
    <w:basedOn w:val="1"/>
    <w:autoRedefine/>
    <w:qFormat/>
    <w:uiPriority w:val="1"/>
    <w:rPr>
      <w:rFonts w:ascii="宋体" w:hAnsi="宋体" w:cs="宋体"/>
      <w:lang w:val="zh-CN" w:bidi="zh-CN"/>
    </w:rPr>
  </w:style>
  <w:style w:type="character" w:customStyle="1" w:styleId="38">
    <w:name w:val="font111"/>
    <w:basedOn w:val="16"/>
    <w:autoRedefine/>
    <w:qFormat/>
    <w:uiPriority w:val="0"/>
    <w:rPr>
      <w:rFonts w:hint="eastAsia" w:ascii="微软雅黑" w:hAnsi="微软雅黑" w:eastAsia="微软雅黑" w:cs="微软雅黑"/>
      <w:b/>
      <w:bCs/>
      <w:color w:val="000000"/>
      <w:sz w:val="20"/>
      <w:szCs w:val="20"/>
      <w:u w:val="none"/>
    </w:rPr>
  </w:style>
  <w:style w:type="character" w:customStyle="1" w:styleId="39">
    <w:name w:val="批注框文本 Char"/>
    <w:basedOn w:val="16"/>
    <w:link w:val="9"/>
    <w:autoRedefine/>
    <w:qFormat/>
    <w:uiPriority w:val="0"/>
    <w:rPr>
      <w:rFonts w:asciiTheme="minorHAnsi" w:hAnsiTheme="minorHAnsi" w:eastAsiaTheme="minorEastAsia" w:cstheme="minorBidi"/>
      <w:kern w:val="2"/>
      <w:sz w:val="18"/>
      <w:szCs w:val="18"/>
    </w:rPr>
  </w:style>
  <w:style w:type="character" w:customStyle="1" w:styleId="40">
    <w:name w:val="页眉 Char"/>
    <w:basedOn w:val="16"/>
    <w:link w:val="11"/>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1949</Words>
  <Characters>11110</Characters>
  <Lines>92</Lines>
  <Paragraphs>26</Paragraphs>
  <TotalTime>13</TotalTime>
  <ScaleCrop>false</ScaleCrop>
  <LinksUpToDate>false</LinksUpToDate>
  <CharactersWithSpaces>13033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dcterms:modified xsi:type="dcterms:W3CDTF">2024-04-17T08:33:29Z</dcterms:modified>
  <cp:revision>589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9287CD1DB6F74A3D9E0854E8BB5C20FA</vt:lpwstr>
  </property>
</Properties>
</file>