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rPr>
        <w:t xml:space="preserve"> 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lang w:val="en-US" w:eastAsia="zh-CN"/>
        </w:rPr>
        <w:t>4.17公务车辆</w:t>
      </w:r>
      <w:r>
        <w:rPr>
          <w:rFonts w:hint="eastAsia" w:ascii="宋体" w:hAnsi="宋体" w:eastAsia="宋体" w:cs="宋体"/>
          <w:b/>
          <w:bCs/>
          <w:sz w:val="44"/>
          <w:szCs w:val="44"/>
        </w:rPr>
        <w:t>采购项目</w:t>
      </w:r>
      <w:r>
        <w:rPr>
          <w:rFonts w:hint="eastAsia" w:ascii="宋体" w:hAnsi="宋体" w:eastAsia="宋体" w:cs="宋体"/>
          <w:b/>
          <w:bCs/>
          <w:sz w:val="44"/>
          <w:szCs w:val="44"/>
          <w:lang w:val="en-US" w:eastAsia="zh-CN"/>
        </w:rPr>
        <w:t>(二次)</w:t>
      </w:r>
    </w:p>
    <w:p>
      <w:pPr>
        <w:widowControl/>
        <w:jc w:val="center"/>
        <w:rPr>
          <w:rFonts w:hint="eastAsia" w:ascii="宋体" w:hAnsi="宋体" w:eastAsia="宋体" w:cs="宋体"/>
          <w:b/>
          <w:bCs/>
          <w:sz w:val="44"/>
          <w:szCs w:val="44"/>
        </w:rPr>
      </w:pPr>
    </w:p>
    <w:p>
      <w:pPr>
        <w:pStyle w:val="6"/>
        <w:rPr>
          <w:rFonts w:ascii="Times New Roman" w:hAnsi="Times New Roman" w:cs="Times New Roman"/>
          <w:szCs w:val="21"/>
        </w:rPr>
      </w:pPr>
    </w:p>
    <w:p>
      <w:pPr>
        <w:pStyle w:val="6"/>
        <w:rPr>
          <w:rFonts w:ascii="Times New Roman" w:hAnsi="Times New Roman" w:cs="Times New Roman"/>
          <w:szCs w:val="21"/>
        </w:rPr>
      </w:pPr>
    </w:p>
    <w:p>
      <w:pPr>
        <w:pStyle w:val="6"/>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17</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r>
            <w:rPr>
              <w:rFonts w:hint="eastAsia" w:ascii="黑体" w:hAnsi="黑体" w:eastAsia="黑体" w:cs="黑体"/>
              <w:sz w:val="44"/>
              <w:szCs w:val="44"/>
            </w:rPr>
            <w:t>目 录</w:t>
          </w:r>
        </w:p>
        <w:p>
          <w:pPr>
            <w:pStyle w:val="6"/>
          </w:pPr>
        </w:p>
        <w:p>
          <w:pPr>
            <w:pStyle w:val="22"/>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2"/>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2"/>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2" w:name="_Toc10395_WPSOffice_Level2"/>
      <w:bookmarkStart w:id="3" w:name="_Toc13871"/>
      <w:bookmarkStart w:id="4" w:name="_Toc6496_WPSOffice_Level2"/>
      <w:bookmarkStart w:id="5" w:name="_Toc525632585"/>
      <w:bookmarkStart w:id="6" w:name="_Toc12765"/>
      <w:bookmarkStart w:id="7" w:name="_Toc24354_WPSOffice_Level2"/>
      <w:bookmarkStart w:id="8" w:name="_Toc4489_WPSOffice_Level2"/>
      <w:r>
        <w:rPr>
          <w:rFonts w:hint="eastAsia" w:asciiTheme="minorEastAsia" w:hAnsiTheme="minorEastAsia" w:eastAsiaTheme="minorEastAsia" w:cstheme="minorEastAsia"/>
          <w:bCs w:val="0"/>
          <w:sz w:val="21"/>
          <w:szCs w:val="21"/>
        </w:rPr>
        <w:t>项目简介</w:t>
      </w:r>
      <w:bookmarkEnd w:id="2"/>
      <w:bookmarkEnd w:id="3"/>
      <w:bookmarkEnd w:id="4"/>
      <w:bookmarkEnd w:id="5"/>
      <w:bookmarkEnd w:id="6"/>
      <w:bookmarkEnd w:id="7"/>
      <w:bookmarkEnd w:id="8"/>
    </w:p>
    <w:p>
      <w:pPr>
        <w:widowControl/>
        <w:ind w:firstLine="420" w:firstLineChars="200"/>
        <w:rPr>
          <w:rFonts w:hint="eastAsia" w:asciiTheme="minorEastAsia" w:hAnsiTheme="minorEastAsia" w:eastAsiaTheme="minorEastAsia" w:cstheme="minorEastAsia"/>
          <w:b/>
          <w:bCs/>
          <w:color w:val="FF0000"/>
          <w:sz w:val="21"/>
          <w:szCs w:val="21"/>
          <w:lang w:val="en-US" w:eastAsia="zh-CN"/>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202</w:t>
      </w:r>
      <w:r>
        <w:rPr>
          <w:rFonts w:hint="eastAsia" w:asciiTheme="minorEastAsia" w:hAnsiTheme="minorEastAsia" w:eastAsiaTheme="minorEastAsia" w:cstheme="minorEastAsia"/>
          <w:sz w:val="21"/>
          <w:szCs w:val="21"/>
          <w:u w:val="single"/>
          <w:lang w:val="en-US" w:eastAsia="zh-CN"/>
        </w:rPr>
        <w:t>4</w:t>
      </w:r>
      <w:r>
        <w:rPr>
          <w:rFonts w:hint="eastAsia" w:asciiTheme="minorEastAsia" w:hAnsiTheme="minorEastAsia" w:eastAsiaTheme="minorEastAsia" w:cstheme="minorEastAsia"/>
          <w:sz w:val="21"/>
          <w:szCs w:val="21"/>
          <w:u w:val="single"/>
        </w:rPr>
        <w:t>年度安徽交运集团汽车销售有限公司</w:t>
      </w:r>
      <w:r>
        <w:rPr>
          <w:rFonts w:hint="eastAsia" w:asciiTheme="minorEastAsia" w:hAnsiTheme="minorEastAsia" w:eastAsiaTheme="minorEastAsia" w:cstheme="minorEastAsia"/>
          <w:sz w:val="21"/>
          <w:szCs w:val="21"/>
          <w:u w:val="single"/>
          <w:lang w:val="en-US" w:eastAsia="zh-CN"/>
        </w:rPr>
        <w:t>4.17公务车辆</w:t>
      </w:r>
      <w:r>
        <w:rPr>
          <w:rFonts w:hint="eastAsia" w:asciiTheme="minorEastAsia" w:hAnsiTheme="minorEastAsia" w:eastAsiaTheme="minorEastAsia" w:cstheme="minorEastAsia"/>
          <w:sz w:val="21"/>
          <w:szCs w:val="21"/>
          <w:u w:val="single"/>
        </w:rPr>
        <w:t>采购项目</w:t>
      </w:r>
      <w:r>
        <w:rPr>
          <w:rFonts w:hint="eastAsia" w:asciiTheme="minorEastAsia" w:hAnsiTheme="minorEastAsia" w:eastAsiaTheme="minorEastAsia" w:cstheme="minorEastAsia"/>
          <w:sz w:val="21"/>
          <w:szCs w:val="21"/>
          <w:u w:val="single"/>
          <w:lang w:eastAsia="zh-CN"/>
        </w:rPr>
        <w:t>（</w:t>
      </w:r>
      <w:r>
        <w:rPr>
          <w:rFonts w:hint="eastAsia" w:asciiTheme="minorEastAsia" w:hAnsiTheme="minorEastAsia" w:eastAsiaTheme="minorEastAsia" w:cstheme="minorEastAsia"/>
          <w:sz w:val="21"/>
          <w:szCs w:val="21"/>
          <w:u w:val="single"/>
          <w:lang w:val="en-US" w:eastAsia="zh-CN"/>
        </w:rPr>
        <w:t>二次</w:t>
      </w:r>
      <w:r>
        <w:rPr>
          <w:rFonts w:hint="eastAsia" w:asciiTheme="minorEastAsia" w:hAnsiTheme="minorEastAsia" w:eastAsiaTheme="minorEastAsia" w:cstheme="minorEastAsia"/>
          <w:sz w:val="21"/>
          <w:szCs w:val="21"/>
          <w:u w:val="single"/>
          <w:lang w:eastAsia="zh-CN"/>
        </w:rPr>
        <w:t>）</w:t>
      </w:r>
    </w:p>
    <w:p>
      <w:pPr>
        <w:snapToGrid w:val="0"/>
        <w:spacing w:line="56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1.2 采 购 人：</w:t>
      </w:r>
      <w:r>
        <w:rPr>
          <w:rFonts w:hint="eastAsia" w:asciiTheme="minorEastAsia" w:hAnsiTheme="minorEastAsia" w:eastAsiaTheme="minorEastAsia" w:cstheme="minorEastAsia"/>
          <w:sz w:val="21"/>
          <w:szCs w:val="21"/>
          <w:u w:val="single"/>
        </w:rPr>
        <w:t>安徽交运集团汽车销售有限公司</w:t>
      </w:r>
      <w:r>
        <w:rPr>
          <w:rFonts w:hint="eastAsia" w:asciiTheme="minorEastAsia" w:hAnsiTheme="minorEastAsia" w:eastAsiaTheme="minorEastAsia" w:cstheme="minorEastAsia"/>
          <w:sz w:val="21"/>
          <w:szCs w:val="21"/>
          <w:u w:val="single"/>
          <w:lang w:val="en-US" w:eastAsia="zh-CN"/>
        </w:rPr>
        <w:t xml:space="preserve"> </w:t>
      </w:r>
    </w:p>
    <w:p>
      <w:pPr>
        <w:snapToGrid w:val="0"/>
        <w:spacing w:line="44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1.3 项目概况：</w:t>
      </w:r>
      <w:r>
        <w:rPr>
          <w:rFonts w:hint="eastAsia" w:asciiTheme="minorEastAsia" w:hAnsiTheme="minorEastAsia" w:eastAsiaTheme="minorEastAsia" w:cstheme="minorEastAsia"/>
          <w:sz w:val="21"/>
          <w:szCs w:val="21"/>
          <w:u w:val="single"/>
          <w:lang w:val="en-US" w:eastAsia="zh-CN"/>
        </w:rPr>
        <w:t xml:space="preserve"> 高速公路巡查和安全管理及应急处置 </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9" w:name="_Toc525632586"/>
      <w:bookmarkStart w:id="10" w:name="_Toc18367_WPSOffice_Level2"/>
      <w:bookmarkStart w:id="11" w:name="_Toc8128_WPSOffice_Level2"/>
      <w:bookmarkStart w:id="12" w:name="_Toc17858_WPSOffice_Level2"/>
      <w:bookmarkStart w:id="13" w:name="_Toc18453"/>
      <w:bookmarkStart w:id="14" w:name="_Toc10274"/>
      <w:bookmarkStart w:id="15" w:name="_Toc23266_WPSOffice_Level2"/>
      <w:r>
        <w:rPr>
          <w:rFonts w:hint="eastAsia" w:asciiTheme="minorEastAsia" w:hAnsiTheme="minorEastAsia" w:eastAsiaTheme="minorEastAsia" w:cstheme="minorEastAsia"/>
          <w:bCs w:val="0"/>
          <w:sz w:val="21"/>
          <w:szCs w:val="21"/>
        </w:rPr>
        <w:t>采购说明</w:t>
      </w:r>
      <w:bookmarkEnd w:id="9"/>
      <w:bookmarkEnd w:id="10"/>
      <w:bookmarkEnd w:id="11"/>
      <w:bookmarkEnd w:id="12"/>
      <w:bookmarkEnd w:id="13"/>
      <w:bookmarkEnd w:id="14"/>
      <w:bookmarkEnd w:id="15"/>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bookmarkStart w:id="16" w:name="_Toc4489_WPSOffice_Level3"/>
      <w:r>
        <w:rPr>
          <w:rFonts w:hint="eastAsia" w:asciiTheme="minorEastAsia" w:hAnsiTheme="minorEastAsia" w:eastAsiaTheme="minorEastAsia" w:cstheme="minorEastAsia"/>
          <w:sz w:val="21"/>
          <w:szCs w:val="21"/>
        </w:rPr>
        <w:t>2.1 采购方式：</w:t>
      </w:r>
      <w:bookmarkEnd w:id="16"/>
      <w:r>
        <w:rPr>
          <w:rFonts w:hint="eastAsia" w:asciiTheme="minorEastAsia" w:hAnsiTheme="minorEastAsia" w:eastAsiaTheme="minorEastAsia" w:cstheme="minorEastAsia"/>
          <w:sz w:val="21"/>
          <w:szCs w:val="21"/>
          <w:u w:val="single"/>
        </w:rPr>
        <w:t>公开询比采购</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bookmarkStart w:id="17" w:name="_Toc23266_WPSOffice_Level3"/>
      <w:r>
        <w:rPr>
          <w:rFonts w:hint="eastAsia" w:asciiTheme="minorEastAsia" w:hAnsiTheme="minorEastAsia" w:eastAsiaTheme="minorEastAsia" w:cstheme="minorEastAsia"/>
          <w:sz w:val="21"/>
          <w:szCs w:val="21"/>
        </w:rPr>
        <w:t>2.2 资金来源及比例：</w:t>
      </w:r>
      <w:bookmarkEnd w:id="17"/>
      <w:bookmarkStart w:id="18" w:name="_Toc22379_WPSOffice_Level3"/>
      <w:r>
        <w:rPr>
          <w:rFonts w:hint="eastAsia" w:asciiTheme="minorEastAsia" w:hAnsiTheme="minorEastAsia" w:eastAsiaTheme="minorEastAsia" w:cstheme="minorEastAsia"/>
          <w:sz w:val="21"/>
          <w:szCs w:val="21"/>
          <w:u w:val="single"/>
        </w:rPr>
        <w:t>企业自筹</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rPr>
        <w:t>2.3 采购范围：</w:t>
      </w:r>
      <w:r>
        <w:rPr>
          <w:rFonts w:hint="eastAsia" w:asciiTheme="minorEastAsia" w:hAnsiTheme="minorEastAsia" w:eastAsiaTheme="minorEastAsia" w:cstheme="minorEastAsia"/>
          <w:sz w:val="21"/>
          <w:szCs w:val="21"/>
          <w:u w:val="single"/>
        </w:rPr>
        <w:t>采购</w:t>
      </w:r>
      <w:r>
        <w:rPr>
          <w:rFonts w:hint="eastAsia" w:asciiTheme="minorEastAsia" w:hAnsiTheme="minorEastAsia" w:eastAsiaTheme="minorEastAsia" w:cstheme="minorEastAsia"/>
          <w:sz w:val="21"/>
          <w:szCs w:val="21"/>
          <w:u w:val="single"/>
          <w:lang w:val="en-US" w:eastAsia="zh-CN"/>
        </w:rPr>
        <w:t>皮卡车13</w:t>
      </w:r>
      <w:r>
        <w:rPr>
          <w:rFonts w:hint="eastAsia" w:asciiTheme="minorEastAsia" w:hAnsiTheme="minorEastAsia" w:eastAsiaTheme="minorEastAsia" w:cstheme="minorEastAsia"/>
          <w:sz w:val="21"/>
          <w:szCs w:val="21"/>
          <w:u w:val="single"/>
        </w:rPr>
        <w:t>台</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2.4 合同包划分：</w:t>
      </w:r>
      <w:r>
        <w:rPr>
          <w:rFonts w:hint="eastAsia" w:asciiTheme="minorEastAsia" w:hAnsiTheme="minorEastAsia" w:eastAsiaTheme="minorEastAsia" w:cstheme="minorEastAsia"/>
          <w:sz w:val="21"/>
          <w:szCs w:val="21"/>
          <w:u w:val="single"/>
        </w:rPr>
        <w:t xml:space="preserve">  /  </w:t>
      </w:r>
    </w:p>
    <w:p>
      <w:pPr>
        <w:snapToGrid w:val="0"/>
        <w:spacing w:line="500" w:lineRule="atLeast"/>
        <w:ind w:firstLine="420" w:firstLineChars="200"/>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sz w:val="21"/>
          <w:szCs w:val="21"/>
        </w:rPr>
        <w:t>2.5最高限价：</w:t>
      </w:r>
      <w:bookmarkEnd w:id="18"/>
      <w:r>
        <w:rPr>
          <w:rFonts w:hint="eastAsia" w:asciiTheme="minorEastAsia" w:hAnsiTheme="minorEastAsia" w:eastAsiaTheme="minorEastAsia" w:cstheme="minorEastAsia"/>
          <w:sz w:val="21"/>
          <w:szCs w:val="21"/>
          <w:u w:val="single"/>
        </w:rPr>
        <w:t>合同控制价</w:t>
      </w:r>
      <w:r>
        <w:rPr>
          <w:rFonts w:hint="eastAsia" w:asciiTheme="minorEastAsia" w:hAnsiTheme="minorEastAsia" w:eastAsiaTheme="minorEastAsia" w:cstheme="minorEastAsia"/>
          <w:sz w:val="21"/>
          <w:szCs w:val="21"/>
          <w:u w:val="single"/>
          <w:lang w:val="en-US" w:eastAsia="zh-CN"/>
        </w:rPr>
        <w:t xml:space="preserve"> 195 </w:t>
      </w:r>
      <w:r>
        <w:rPr>
          <w:rFonts w:hint="eastAsia" w:asciiTheme="minorEastAsia" w:hAnsiTheme="minorEastAsia" w:eastAsiaTheme="minorEastAsia" w:cstheme="minorEastAsia"/>
          <w:color w:val="auto"/>
          <w:sz w:val="21"/>
          <w:szCs w:val="21"/>
          <w:highlight w:val="none"/>
          <w:u w:val="single"/>
        </w:rPr>
        <w:t>万元</w:t>
      </w:r>
      <w:r>
        <w:rPr>
          <w:rFonts w:hint="eastAsia" w:asciiTheme="minorEastAsia" w:hAnsiTheme="minorEastAsia" w:eastAsiaTheme="minorEastAsia" w:cstheme="minorEastAsia"/>
          <w:color w:val="auto"/>
          <w:sz w:val="21"/>
          <w:szCs w:val="21"/>
          <w:highlight w:val="none"/>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rPr>
        <w:t>2.6 计划交货期：</w:t>
      </w:r>
      <w:r>
        <w:rPr>
          <w:rFonts w:hint="eastAsia" w:asciiTheme="minorEastAsia" w:hAnsiTheme="minorEastAsia" w:eastAsiaTheme="minorEastAsia" w:cstheme="minorEastAsia"/>
          <w:sz w:val="21"/>
          <w:szCs w:val="21"/>
          <w:u w:val="single"/>
        </w:rPr>
        <w:t>合同签订之日起</w:t>
      </w:r>
      <w:r>
        <w:rPr>
          <w:rFonts w:hint="eastAsia" w:asciiTheme="minorEastAsia" w:hAnsiTheme="minorEastAsia" w:eastAsiaTheme="minorEastAsia" w:cstheme="minorEastAsia"/>
          <w:sz w:val="21"/>
          <w:szCs w:val="21"/>
          <w:u w:val="single"/>
          <w:lang w:val="en-US" w:eastAsia="zh-CN"/>
        </w:rPr>
        <w:t>15</w:t>
      </w:r>
      <w:r>
        <w:rPr>
          <w:rFonts w:hint="eastAsia" w:asciiTheme="minorEastAsia" w:hAnsiTheme="minorEastAsia" w:eastAsiaTheme="minorEastAsia" w:cstheme="minorEastAsia"/>
          <w:sz w:val="21"/>
          <w:szCs w:val="21"/>
          <w:u w:val="single"/>
        </w:rPr>
        <w:t>个日历日</w:t>
      </w:r>
      <w:r>
        <w:rPr>
          <w:rFonts w:hint="eastAsia" w:asciiTheme="minorEastAsia" w:hAnsiTheme="minorEastAsia" w:eastAsiaTheme="minorEastAsia" w:cstheme="minorEastAsia"/>
          <w:sz w:val="21"/>
          <w:szCs w:val="21"/>
          <w:u w:val="single"/>
          <w:lang w:val="en-US" w:eastAsia="zh-CN"/>
        </w:rPr>
        <w:t xml:space="preserve">内 </w:t>
      </w:r>
    </w:p>
    <w:p>
      <w:pPr>
        <w:pStyle w:val="36"/>
        <w:spacing w:before="143"/>
        <w:ind w:right="1430"/>
        <w:jc w:val="left"/>
        <w:rPr>
          <w:rFonts w:hint="eastAsia" w:asciiTheme="minorEastAsia" w:hAnsiTheme="minorEastAsia" w:eastAsiaTheme="minorEastAsia" w:cstheme="minorEastAsia"/>
          <w:sz w:val="21"/>
          <w:szCs w:val="21"/>
          <w:lang w:val="en-US"/>
        </w:rPr>
      </w:pPr>
      <w:bookmarkStart w:id="19" w:name="_Toc22379_WPSOffice_Level2"/>
      <w:bookmarkStart w:id="20" w:name="_Toc1622_WPSOffice_Level2"/>
      <w:bookmarkStart w:id="21" w:name="_Toc29516_WPSOffice_Level2"/>
      <w:bookmarkStart w:id="22" w:name="_Toc6388"/>
      <w:bookmarkStart w:id="23" w:name="_Toc31673_WPSOffice_Level2"/>
      <w:bookmarkStart w:id="24" w:name="_Toc525632587"/>
      <w:bookmarkStart w:id="25" w:name="_Toc3714"/>
      <w:r>
        <w:rPr>
          <w:rFonts w:hint="eastAsia" w:asciiTheme="minorEastAsia" w:hAnsiTheme="minorEastAsia" w:eastAsiaTheme="minorEastAsia" w:cstheme="minorEastAsia"/>
          <w:sz w:val="21"/>
          <w:szCs w:val="21"/>
          <w:lang w:val="en-US"/>
        </w:rPr>
        <w:t>备注：</w:t>
      </w:r>
    </w:p>
    <w:p>
      <w:pPr>
        <w:pStyle w:val="4"/>
        <w:numPr>
          <w:ilvl w:val="0"/>
          <w:numId w:val="0"/>
        </w:numPr>
        <w:snapToGrid w:val="0"/>
        <w:spacing w:before="120" w:after="120" w:line="560" w:lineRule="exact"/>
        <w:ind w:left="420" w:firstLine="420" w:firstLineChars="200"/>
        <w:jc w:val="left"/>
        <w:rPr>
          <w:rFonts w:hint="eastAsia" w:asciiTheme="minorEastAsia" w:hAnsiTheme="minorEastAsia" w:eastAsiaTheme="minorEastAsia" w:cstheme="minorEastAsia"/>
          <w:b w:val="0"/>
          <w:bCs w:val="0"/>
          <w:color w:val="auto"/>
          <w:kern w:val="2"/>
          <w:sz w:val="21"/>
          <w:szCs w:val="21"/>
          <w:highlight w:val="green"/>
          <w:lang w:val="en-US" w:eastAsia="zh-CN" w:bidi="ar-SA"/>
        </w:rPr>
      </w:pPr>
      <w:r>
        <w:rPr>
          <w:rFonts w:hint="eastAsia" w:asciiTheme="minorEastAsia" w:hAnsiTheme="minorEastAsia" w:eastAsiaTheme="minorEastAsia" w:cstheme="minorEastAsia"/>
          <w:b w:val="0"/>
          <w:bCs w:val="0"/>
          <w:color w:val="auto"/>
          <w:kern w:val="2"/>
          <w:sz w:val="21"/>
          <w:szCs w:val="21"/>
          <w:highlight w:val="green"/>
          <w:lang w:val="en-US" w:eastAsia="zh-CN" w:bidi="ar-SA"/>
        </w:rPr>
        <w:t>报价包括了为实施和完成本项目所需的设计费、制造费、材料费、利润、税费、运输费、验收、技术服务、安装调试、备品备件、工具及上牌费等达到使用条件及质保期维护维修的一切费用。车辆购置税和车辆保险由采购人自行购买</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lang w:val="en-US" w:eastAsia="zh-CN"/>
        </w:rPr>
      </w:pPr>
      <w:r>
        <w:rPr>
          <w:rFonts w:hint="eastAsia" w:asciiTheme="minorEastAsia" w:hAnsiTheme="minorEastAsia" w:eastAsiaTheme="minorEastAsia" w:cstheme="minorEastAsia"/>
          <w:bCs w:val="0"/>
          <w:sz w:val="21"/>
          <w:szCs w:val="21"/>
          <w:lang w:val="en-US" w:eastAsia="zh-CN"/>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本次采购要求供应商须同时具备：</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（1）资质最低要求：</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①供应商应具备本次采购品牌车辆的销售资质，具备独立法人资格，持有有效的营业执照；</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②供应商应为本次采购品牌车辆的制造商或代理商，代理商应具备</w:t>
      </w:r>
      <w:r>
        <w:rPr>
          <w:rFonts w:hint="eastAsia" w:asciiTheme="minorEastAsia" w:hAnsiTheme="minorEastAsia" w:eastAsiaTheme="minorEastAsia" w:cstheme="minorEastAsia"/>
          <w:sz w:val="21"/>
          <w:szCs w:val="21"/>
          <w:u w:val="single"/>
        </w:rPr>
        <w:t>制造商直接授予的代理授权书</w:t>
      </w:r>
      <w:r>
        <w:rPr>
          <w:rFonts w:hint="eastAsia" w:asciiTheme="minorEastAsia" w:hAnsiTheme="minorEastAsia" w:eastAsiaTheme="minorEastAsia" w:cstheme="minorEastAsia"/>
          <w:sz w:val="21"/>
          <w:szCs w:val="21"/>
        </w:rPr>
        <w:t>_。</w:t>
      </w:r>
    </w:p>
    <w:p>
      <w:pPr>
        <w:numPr>
          <w:ilvl w:val="255"/>
          <w:numId w:val="0"/>
        </w:numPr>
        <w:snapToGrid w:val="0"/>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③所投产品应为经过国家行业主管部门认证的定型产品，列入《中华人民共和国发改委车辆生产企业及产品公告》，产品具备国家3C认证和环保认证；</w:t>
      </w:r>
    </w:p>
    <w:p>
      <w:pPr>
        <w:pStyle w:val="12"/>
        <w:widowControl/>
        <w:shd w:val="clear" w:color="auto" w:fill="FFFFFF"/>
        <w:spacing w:beforeAutospacing="0" w:afterAutospacing="0"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shd w:val="clear" w:color="auto" w:fill="FFFFFF"/>
        </w:rPr>
        <w:t>业绩最低要求：</w:t>
      </w:r>
    </w:p>
    <w:p>
      <w:pPr>
        <w:spacing w:line="400" w:lineRule="exact"/>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投标人自202</w:t>
      </w:r>
      <w:r>
        <w:rPr>
          <w:rFonts w:hint="eastAsia" w:asciiTheme="minorEastAsia" w:hAnsiTheme="minorEastAsia" w:eastAsiaTheme="minorEastAsia" w:cstheme="minorEastAsia"/>
          <w:sz w:val="21"/>
          <w:szCs w:val="21"/>
          <w:highlight w:val="green"/>
          <w:lang w:val="en-US" w:eastAsia="zh-CN"/>
        </w:rPr>
        <w:t>1</w:t>
      </w:r>
      <w:r>
        <w:rPr>
          <w:rFonts w:hint="eastAsia" w:asciiTheme="minorEastAsia" w:hAnsiTheme="minorEastAsia" w:eastAsiaTheme="minorEastAsia" w:cstheme="minorEastAsia"/>
          <w:sz w:val="21"/>
          <w:szCs w:val="21"/>
          <w:highlight w:val="green"/>
        </w:rPr>
        <w:t>年1月1日（以合同签订时间为准）至今，具有</w:t>
      </w:r>
      <w:r>
        <w:rPr>
          <w:rFonts w:hint="eastAsia" w:asciiTheme="minorEastAsia" w:hAnsiTheme="minorEastAsia" w:eastAsiaTheme="minorEastAsia" w:cstheme="minorEastAsia"/>
          <w:sz w:val="21"/>
          <w:szCs w:val="21"/>
          <w:highlight w:val="green"/>
          <w:lang w:val="en-US" w:eastAsia="zh-CN"/>
        </w:rPr>
        <w:t>1台皮卡车</w:t>
      </w:r>
      <w:r>
        <w:rPr>
          <w:rFonts w:hint="eastAsia" w:asciiTheme="minorEastAsia" w:hAnsiTheme="minorEastAsia" w:eastAsiaTheme="minorEastAsia" w:cstheme="minorEastAsia"/>
          <w:sz w:val="21"/>
          <w:szCs w:val="21"/>
          <w:highlight w:val="green"/>
        </w:rPr>
        <w:t>供货业绩。</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（3）信誉要求最低要求：</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①未被责令停业，暂扣或吊销执照，或吊销资质证书；</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②未进入清算程序，或被宣告破产，或其他丧失履约能力的情形；</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③在国家企业信用信息公示系统（http://www.gsxt.gov.cn）中未被列入严重违法失信企业名单；</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④在“信用中国”网站（http://www.creditchina.gov.cn）中未被列入失信被执行人名单；</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⑤在近三年内（自响应文件递交截止之日向前追溯3年）供应商或其法定代表人未有行贿犯罪行为；</w:t>
      </w:r>
    </w:p>
    <w:p>
      <w:pPr>
        <w:pStyle w:val="14"/>
        <w:spacing w:line="560" w:lineRule="exact"/>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⑥其他要求：没有法律法规规定的其他违规情形。</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联合体：本次采购不接受联合体报价。</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 单位负责人为同一人或者存在控股、管理关系的不同单位，不得同时参加同一合同包报价，否则相关响应文件均无效。</w:t>
      </w:r>
    </w:p>
    <w:p>
      <w:pPr>
        <w:snapToGrid w:val="0"/>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26" w:name="_Toc29452_WPSOffice_Level2"/>
      <w:bookmarkStart w:id="27" w:name="_Toc25666_WPSOffice_Level2"/>
      <w:bookmarkStart w:id="28" w:name="_Toc4109_WPSOffice_Level2"/>
      <w:bookmarkStart w:id="29" w:name="_Toc525632588"/>
      <w:bookmarkStart w:id="30" w:name="_Toc1994"/>
      <w:bookmarkStart w:id="31" w:name="_Toc2996_WPSOffice_Level2"/>
      <w:bookmarkStart w:id="32" w:name="_Toc4751"/>
      <w:r>
        <w:rPr>
          <w:rFonts w:hint="eastAsia" w:asciiTheme="minorEastAsia" w:hAnsiTheme="minorEastAsia" w:eastAsiaTheme="minorEastAsia" w:cstheme="minorEastAsia"/>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供应商应在递交响应文件的截止时间前登录安徽交运集团网站（http://www.ahjyjt.com.cn/），选择所参加的合同包，自行下载询比文件及相关资料。</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3" w:name="_Toc726"/>
      <w:bookmarkStart w:id="34" w:name="_Toc525632589"/>
      <w:r>
        <w:rPr>
          <w:rFonts w:hint="eastAsia" w:asciiTheme="minorEastAsia" w:hAnsiTheme="minorEastAsia" w:eastAsiaTheme="minorEastAsia" w:cstheme="minorEastAsia"/>
          <w:bCs w:val="0"/>
          <w:sz w:val="21"/>
          <w:szCs w:val="21"/>
        </w:rPr>
        <w:t>响应文件的递交</w:t>
      </w:r>
      <w:bookmarkEnd w:id="33"/>
      <w:bookmarkEnd w:id="34"/>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green"/>
        </w:rPr>
        <w:t>响应文件递交的截止时间为</w:t>
      </w:r>
      <w:r>
        <w:rPr>
          <w:rFonts w:hint="eastAsia" w:asciiTheme="minorEastAsia" w:hAnsiTheme="minorEastAsia" w:eastAsiaTheme="minorEastAsia" w:cstheme="minorEastAsia"/>
          <w:sz w:val="21"/>
          <w:szCs w:val="21"/>
          <w:highlight w:val="green"/>
          <w:u w:val="single"/>
        </w:rPr>
        <w:t>20</w:t>
      </w:r>
      <w:r>
        <w:rPr>
          <w:rFonts w:hint="eastAsia" w:asciiTheme="minorEastAsia" w:hAnsiTheme="minorEastAsia" w:eastAsiaTheme="minorEastAsia" w:cstheme="minorEastAsia"/>
          <w:sz w:val="21"/>
          <w:szCs w:val="21"/>
          <w:highlight w:val="green"/>
          <w:u w:val="single"/>
          <w:lang w:val="en-US" w:eastAsia="zh-CN"/>
        </w:rPr>
        <w:t>24</w:t>
      </w:r>
      <w:r>
        <w:rPr>
          <w:rFonts w:hint="eastAsia" w:asciiTheme="minorEastAsia" w:hAnsiTheme="minorEastAsia" w:eastAsiaTheme="minorEastAsia" w:cstheme="minorEastAsia"/>
          <w:sz w:val="21"/>
          <w:szCs w:val="21"/>
          <w:highlight w:val="green"/>
        </w:rPr>
        <w:t>年</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u w:val="single"/>
          <w:lang w:val="en-US" w:eastAsia="zh-CN"/>
        </w:rPr>
        <w:t>4</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rPr>
        <w:t>月</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u w:val="single"/>
          <w:lang w:val="en-US" w:eastAsia="zh-CN"/>
        </w:rPr>
        <w:t>24</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rPr>
        <w:t>日</w:t>
      </w:r>
      <w:r>
        <w:rPr>
          <w:rFonts w:hint="eastAsia" w:asciiTheme="minorEastAsia" w:hAnsiTheme="minorEastAsia" w:eastAsiaTheme="minorEastAsia" w:cstheme="minorEastAsia"/>
          <w:sz w:val="21"/>
          <w:szCs w:val="21"/>
          <w:highlight w:val="green"/>
          <w:u w:val="single"/>
        </w:rPr>
        <w:t xml:space="preserve"> 10 </w:t>
      </w:r>
      <w:r>
        <w:rPr>
          <w:rFonts w:hint="eastAsia" w:asciiTheme="minorEastAsia" w:hAnsiTheme="minorEastAsia" w:eastAsiaTheme="minorEastAsia" w:cstheme="minorEastAsia"/>
          <w:sz w:val="21"/>
          <w:szCs w:val="21"/>
          <w:highlight w:val="green"/>
        </w:rPr>
        <w:t>时</w:t>
      </w:r>
      <w:r>
        <w:rPr>
          <w:rFonts w:hint="eastAsia" w:asciiTheme="minorEastAsia" w:hAnsiTheme="minorEastAsia" w:eastAsiaTheme="minorEastAsia" w:cstheme="minorEastAsia"/>
          <w:sz w:val="21"/>
          <w:szCs w:val="21"/>
          <w:highlight w:val="green"/>
          <w:u w:val="single"/>
        </w:rPr>
        <w:t>00</w:t>
      </w:r>
      <w:r>
        <w:rPr>
          <w:rFonts w:hint="eastAsia" w:asciiTheme="minorEastAsia" w:hAnsiTheme="minorEastAsia" w:eastAsiaTheme="minorEastAsia" w:cstheme="minorEastAsia"/>
          <w:sz w:val="21"/>
          <w:szCs w:val="21"/>
          <w:highlight w:val="green"/>
        </w:rPr>
        <w:t>分，供应商的法定代表人或其授权代理人应于截止时间前将响应文件递交至</w:t>
      </w:r>
      <w:r>
        <w:rPr>
          <w:rFonts w:hint="eastAsia" w:asciiTheme="minorEastAsia" w:hAnsiTheme="minorEastAsia" w:eastAsiaTheme="minorEastAsia" w:cstheme="minorEastAsia"/>
          <w:sz w:val="21"/>
          <w:szCs w:val="21"/>
          <w:highlight w:val="green"/>
          <w:u w:val="single"/>
        </w:rPr>
        <w:t>合肥市胜利路35号，交通饭店三楼汽车销售有限公司</w:t>
      </w:r>
      <w:r>
        <w:rPr>
          <w:rFonts w:hint="eastAsia" w:asciiTheme="minorEastAsia" w:hAnsiTheme="minorEastAsia" w:eastAsiaTheme="minorEastAsia" w:cstheme="minorEastAsia"/>
          <w:sz w:val="21"/>
          <w:szCs w:val="21"/>
          <w:highlight w:val="green"/>
        </w:rPr>
        <w:t>（地点）。</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5" w:name="_Toc525632591"/>
      <w:bookmarkStart w:id="36" w:name="_Toc22719"/>
      <w:r>
        <w:rPr>
          <w:rFonts w:hint="eastAsia" w:asciiTheme="minorEastAsia" w:hAnsiTheme="minorEastAsia" w:eastAsiaTheme="minorEastAsia" w:cstheme="minorEastAsia"/>
          <w:bCs w:val="0"/>
          <w:sz w:val="21"/>
          <w:szCs w:val="21"/>
        </w:rPr>
        <w:t>响应文件启封</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响应文件的递交截止时间到后，采购人将于</w:t>
      </w:r>
      <w:r>
        <w:rPr>
          <w:rFonts w:hint="eastAsia" w:asciiTheme="minorEastAsia" w:hAnsiTheme="minorEastAsia" w:eastAsiaTheme="minorEastAsia" w:cstheme="minorEastAsia"/>
          <w:sz w:val="21"/>
          <w:szCs w:val="21"/>
          <w:u w:val="single"/>
        </w:rPr>
        <w:t>交通饭店三楼会议室</w:t>
      </w:r>
      <w:r>
        <w:rPr>
          <w:rFonts w:hint="eastAsia" w:asciiTheme="minorEastAsia" w:hAnsiTheme="minorEastAsia" w:eastAsiaTheme="minorEastAsia" w:cstheme="minorEastAsia"/>
          <w:sz w:val="21"/>
          <w:szCs w:val="21"/>
        </w:rPr>
        <w:t>（地点）组织进行响应文件的启封。供应商的法定代表人或授权代理人应携带本人身份证、授权代理人应携带授权委托书准时参加启封会议。</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r>
        <w:rPr>
          <w:rFonts w:hint="eastAsia" w:asciiTheme="minorEastAsia" w:hAnsiTheme="minorEastAsia" w:eastAsiaTheme="minorEastAsia" w:cstheme="minorEastAsia"/>
          <w:bCs w:val="0"/>
          <w:sz w:val="21"/>
          <w:szCs w:val="21"/>
        </w:rPr>
        <w:t>响应保证金</w:t>
      </w:r>
    </w:p>
    <w:p>
      <w:pPr>
        <w:pStyle w:val="6"/>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本项目无响应保证金，需发响应报名表进行报名。</w:t>
      </w:r>
    </w:p>
    <w:p>
      <w:pPr>
        <w:snapToGrid w:val="0"/>
        <w:spacing w:line="560" w:lineRule="exact"/>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在202</w:t>
      </w:r>
      <w:r>
        <w:rPr>
          <w:rFonts w:hint="eastAsia" w:asciiTheme="minorEastAsia" w:hAnsiTheme="minorEastAsia" w:eastAsiaTheme="minorEastAsia" w:cstheme="minorEastAsia"/>
          <w:sz w:val="21"/>
          <w:szCs w:val="21"/>
          <w:highlight w:val="green"/>
          <w:lang w:val="en-US" w:eastAsia="zh-CN"/>
        </w:rPr>
        <w:t>4</w:t>
      </w:r>
      <w:r>
        <w:rPr>
          <w:rFonts w:hint="eastAsia" w:asciiTheme="minorEastAsia" w:hAnsiTheme="minorEastAsia" w:eastAsiaTheme="minorEastAsia" w:cstheme="minorEastAsia"/>
          <w:sz w:val="21"/>
          <w:szCs w:val="21"/>
          <w:highlight w:val="green"/>
        </w:rPr>
        <w:t xml:space="preserve">年 </w:t>
      </w:r>
      <w:r>
        <w:rPr>
          <w:rFonts w:hint="eastAsia" w:asciiTheme="minorEastAsia" w:hAnsiTheme="minorEastAsia" w:eastAsiaTheme="minorEastAsia" w:cstheme="minorEastAsia"/>
          <w:sz w:val="21"/>
          <w:szCs w:val="21"/>
          <w:highlight w:val="green"/>
          <w:lang w:val="en-US" w:eastAsia="zh-CN"/>
        </w:rPr>
        <w:t>4</w:t>
      </w:r>
      <w:r>
        <w:rPr>
          <w:rFonts w:hint="eastAsia" w:asciiTheme="minorEastAsia" w:hAnsiTheme="minorEastAsia" w:eastAsiaTheme="minorEastAsia" w:cstheme="minorEastAsia"/>
          <w:sz w:val="21"/>
          <w:szCs w:val="21"/>
          <w:highlight w:val="green"/>
        </w:rPr>
        <w:t>月</w:t>
      </w:r>
      <w:r>
        <w:rPr>
          <w:rFonts w:hint="eastAsia" w:asciiTheme="minorEastAsia" w:hAnsiTheme="minorEastAsia" w:eastAsiaTheme="minorEastAsia" w:cstheme="minorEastAsia"/>
          <w:sz w:val="21"/>
          <w:szCs w:val="21"/>
          <w:highlight w:val="green"/>
          <w:lang w:val="en-US" w:eastAsia="zh-CN"/>
        </w:rPr>
        <w:t>23</w:t>
      </w:r>
      <w:r>
        <w:rPr>
          <w:rFonts w:hint="eastAsia" w:asciiTheme="minorEastAsia" w:hAnsiTheme="minorEastAsia" w:eastAsiaTheme="minorEastAsia" w:cstheme="minorEastAsia"/>
          <w:sz w:val="21"/>
          <w:szCs w:val="21"/>
          <w:highlight w:val="green"/>
        </w:rPr>
        <w:t>日 15 ：00前，将响应报名表发送至</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"mailto:ahjyxs@163.com" </w:instrText>
      </w:r>
      <w:r>
        <w:rPr>
          <w:rFonts w:hint="eastAsia" w:asciiTheme="minorEastAsia" w:hAnsiTheme="minorEastAsia" w:eastAsiaTheme="minorEastAsia" w:cstheme="minorEastAsia"/>
          <w:sz w:val="21"/>
          <w:szCs w:val="21"/>
        </w:rPr>
        <w:fldChar w:fldCharType="separate"/>
      </w:r>
      <w:r>
        <w:rPr>
          <w:rStyle w:val="21"/>
          <w:rFonts w:hint="eastAsia" w:asciiTheme="minorEastAsia" w:hAnsiTheme="minorEastAsia" w:eastAsiaTheme="minorEastAsia" w:cstheme="minorEastAsia"/>
          <w:sz w:val="21"/>
          <w:szCs w:val="21"/>
          <w:highlight w:val="green"/>
        </w:rPr>
        <w:t>ahjyxs@163.com</w:t>
      </w:r>
      <w:r>
        <w:rPr>
          <w:rStyle w:val="21"/>
          <w:rFonts w:hint="eastAsia" w:asciiTheme="minorEastAsia" w:hAnsiTheme="minorEastAsia" w:eastAsiaTheme="minorEastAsia" w:cstheme="minorEastAsia"/>
          <w:sz w:val="21"/>
          <w:szCs w:val="21"/>
          <w:highlight w:val="green"/>
        </w:rPr>
        <w:fldChar w:fldCharType="end"/>
      </w:r>
      <w:r>
        <w:rPr>
          <w:rFonts w:hint="eastAsia" w:asciiTheme="minorEastAsia" w:hAnsiTheme="minorEastAsia" w:eastAsiaTheme="minorEastAsia" w:cstheme="minorEastAsia"/>
          <w:sz w:val="21"/>
          <w:szCs w:val="21"/>
          <w:highlight w:val="green"/>
        </w:rPr>
        <w:t>进行确认报名。</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r>
        <w:rPr>
          <w:rFonts w:hint="eastAsia" w:asciiTheme="minorEastAsia" w:hAnsiTheme="minorEastAsia" w:eastAsiaTheme="minorEastAsia" w:cstheme="minorEastAsia"/>
          <w:bCs w:val="0"/>
          <w:sz w:val="21"/>
          <w:szCs w:val="21"/>
        </w:rPr>
        <w:t>发布公告的媒介</w:t>
      </w:r>
      <w:bookmarkEnd w:id="35"/>
      <w:bookmarkEnd w:id="36"/>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本次采购公告在安徽交运集团网站（http://www.ahjyjt.com.cn/）上发布。</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7" w:name="_Toc525632592"/>
      <w:bookmarkStart w:id="38" w:name="_Toc28571_WPSOffice_Level2"/>
      <w:bookmarkStart w:id="39" w:name="_Toc321_WPSOffice_Level2"/>
      <w:bookmarkStart w:id="40" w:name="_Toc20572_WPSOffice_Level2"/>
      <w:bookmarkStart w:id="41" w:name="_Toc26829"/>
      <w:bookmarkStart w:id="42" w:name="_Toc14943_WPSOffice_Level2"/>
      <w:bookmarkStart w:id="43" w:name="_Toc8501"/>
      <w:r>
        <w:rPr>
          <w:rFonts w:hint="eastAsia" w:asciiTheme="minorEastAsia" w:hAnsiTheme="minorEastAsia" w:eastAsiaTheme="minorEastAsia" w:cstheme="minorEastAsia"/>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rPr>
        <w:t>安徽交运集团汽车销售有限公司</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r>
        <w:rPr>
          <w:rFonts w:hint="eastAsia" w:asciiTheme="minorEastAsia" w:hAnsiTheme="minorEastAsia" w:eastAsiaTheme="minorEastAsia" w:cstheme="minorEastAsia"/>
          <w:sz w:val="21"/>
          <w:szCs w:val="21"/>
          <w:u w:val="single"/>
        </w:rPr>
        <w:t>合肥市胜利路35号交通饭店</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230011</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u w:val="single"/>
        </w:rPr>
        <w:t>张经理</w:t>
      </w:r>
    </w:p>
    <w:p>
      <w:pPr>
        <w:spacing w:line="56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u w:val="single"/>
        </w:rPr>
        <w:t xml:space="preserve">0551-64299058   </w:t>
      </w:r>
    </w:p>
    <w:p>
      <w:pPr>
        <w:spacing w:line="560" w:lineRule="exact"/>
        <w:ind w:firstLine="420" w:firstLineChars="200"/>
        <w:rPr>
          <w:rStyle w:val="21"/>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"mailto:ahjyxs@163.com" </w:instrText>
      </w:r>
      <w:r>
        <w:rPr>
          <w:rFonts w:hint="eastAsia" w:asciiTheme="minorEastAsia" w:hAnsiTheme="minorEastAsia" w:eastAsiaTheme="minorEastAsia" w:cstheme="minorEastAsia"/>
          <w:sz w:val="21"/>
          <w:szCs w:val="21"/>
        </w:rPr>
        <w:fldChar w:fldCharType="separate"/>
      </w:r>
      <w:r>
        <w:rPr>
          <w:rStyle w:val="21"/>
          <w:rFonts w:hint="eastAsia" w:asciiTheme="minorEastAsia" w:hAnsiTheme="minorEastAsia" w:eastAsiaTheme="minorEastAsia" w:cstheme="minorEastAsia"/>
          <w:sz w:val="21"/>
          <w:szCs w:val="21"/>
        </w:rPr>
        <w:t>ahjyxs@163.com</w:t>
      </w:r>
      <w:r>
        <w:rPr>
          <w:rStyle w:val="21"/>
          <w:rFonts w:hint="eastAsia" w:asciiTheme="minorEastAsia" w:hAnsiTheme="minorEastAsia" w:eastAsiaTheme="minorEastAsia" w:cstheme="minorEastAsia"/>
          <w:sz w:val="21"/>
          <w:szCs w:val="21"/>
        </w:rPr>
        <w:fldChar w:fldCharType="end"/>
      </w:r>
    </w:p>
    <w:p>
      <w:pPr>
        <w:rPr>
          <w:rStyle w:val="21"/>
          <w:rFonts w:hint="eastAsia" w:asciiTheme="minorEastAsia" w:hAnsiTheme="minorEastAsia" w:eastAsiaTheme="minorEastAsia" w:cstheme="minorEastAsia"/>
          <w:sz w:val="21"/>
          <w:szCs w:val="21"/>
        </w:rPr>
      </w:pPr>
    </w:p>
    <w:p>
      <w:pPr>
        <w:pStyle w:val="4"/>
        <w:numPr>
          <w:ilvl w:val="0"/>
          <w:numId w:val="0"/>
        </w:numPr>
        <w:ind w:left="417" w:leftChars="0"/>
        <w:rPr>
          <w:sz w:val="28"/>
          <w:szCs w:val="28"/>
        </w:rPr>
      </w:pPr>
    </w:p>
    <w:p>
      <w:pPr>
        <w:pStyle w:val="23"/>
        <w:ind w:right="315"/>
        <w:jc w:val="right"/>
        <w:rPr>
          <w:rFonts w:hint="default" w:ascii="Times New Roman" w:hAnsi="Times New Roman"/>
          <w:color w:val="auto"/>
          <w:szCs w:val="28"/>
        </w:rPr>
      </w:pPr>
      <w:r>
        <w:rPr>
          <w:rFonts w:ascii="Times New Roman" w:hAnsi="Times New Roman"/>
          <w:color w:val="auto"/>
          <w:sz w:val="21"/>
          <w:szCs w:val="22"/>
        </w:rPr>
        <w:t xml:space="preserve"> 202</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年</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17</w:t>
      </w:r>
      <w:r>
        <w:rPr>
          <w:rFonts w:ascii="Times New Roman" w:hAnsi="Times New Roman"/>
          <w:color w:val="auto"/>
          <w:sz w:val="21"/>
          <w:szCs w:val="22"/>
        </w:rPr>
        <w:t xml:space="preserve"> </w:t>
      </w:r>
      <w:r>
        <w:rPr>
          <w:rFonts w:hint="default" w:ascii="Times New Roman" w:hAnsi="Times New Roman"/>
          <w:color w:val="auto"/>
          <w:sz w:val="21"/>
          <w:szCs w:val="22"/>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6"/>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5"/>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bookmarkStart w:id="169" w:name="_GoBack"/>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1"/>
                <w:rFonts w:hint="eastAsia" w:ascii="宋体" w:hAnsi="宋体" w:eastAsia="宋体" w:cs="宋体"/>
                <w:szCs w:val="21"/>
                <w:highlight w:val="green"/>
              </w:rPr>
              <w:t>ahjyxs@163.com</w:t>
            </w:r>
            <w:r>
              <w:rPr>
                <w:rStyle w:val="21"/>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6"/>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3"/>
        <w:jc w:val="center"/>
        <w:rPr>
          <w:rFonts w:hint="default" w:ascii="Times New Roman" w:hAnsi="Times New Roman"/>
          <w:color w:val="auto"/>
          <w:sz w:val="21"/>
          <w:szCs w:val="22"/>
        </w:rPr>
      </w:pPr>
    </w:p>
    <w:p>
      <w:pPr>
        <w:pStyle w:val="23"/>
        <w:jc w:val="center"/>
        <w:rPr>
          <w:rFonts w:ascii="Times New Roman" w:hAnsi="Times New Roman"/>
          <w:color w:val="auto"/>
          <w:sz w:val="21"/>
          <w:szCs w:val="22"/>
        </w:rPr>
      </w:pPr>
      <w:r>
        <w:rPr>
          <w:rFonts w:ascii="Times New Roman" w:hAnsi="Times New Roman"/>
          <w:color w:val="auto"/>
          <w:sz w:val="21"/>
          <w:szCs w:val="22"/>
        </w:rPr>
        <w:t xml:space="preserve">                 </w:t>
      </w: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5"/>
        <w:tblW w:w="10081" w:type="dxa"/>
        <w:jc w:val="center"/>
        <w:tblCellSpacing w:w="15" w:type="dxa"/>
        <w:tblLayout w:type="fixed"/>
        <w:tblCellMar>
          <w:top w:w="0" w:type="dxa"/>
          <w:left w:w="0" w:type="dxa"/>
          <w:bottom w:w="0" w:type="dxa"/>
          <w:right w:w="0" w:type="dxa"/>
        </w:tblCellMar>
      </w:tblPr>
      <w:tblGrid>
        <w:gridCol w:w="10081"/>
      </w:tblGrid>
      <w:tr>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8"/>
              <w:rPr>
                <w:rFonts w:hint="eastAsia"/>
                <w:highlight w:val="none"/>
              </w:rPr>
            </w:pPr>
          </w:p>
          <w:p>
            <w:pPr>
              <w:rPr>
                <w:rFonts w:hint="eastAsia"/>
                <w:highlight w:val="none"/>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3"/>
        <w:jc w:val="center"/>
        <w:rPr>
          <w:rFonts w:ascii="Times New Roman" w:hAnsi="Times New Roman"/>
          <w:color w:val="auto"/>
          <w:sz w:val="21"/>
          <w:szCs w:val="22"/>
          <w:highlight w:val="none"/>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both"/>
        <w:rPr>
          <w:rFonts w:ascii="Times New Roman" w:hAnsi="Times New Roman"/>
          <w:color w:val="auto"/>
          <w:sz w:val="21"/>
          <w:szCs w:val="22"/>
        </w:rPr>
      </w:pPr>
    </w:p>
    <w:p>
      <w:pPr>
        <w:pStyle w:val="23"/>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14201232"/>
      <w:bookmarkStart w:id="49" w:name="_Toc26656963"/>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26656972"/>
      <w:bookmarkStart w:id="52" w:name="_Toc14201241"/>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26656975"/>
      <w:bookmarkStart w:id="56" w:name="_Toc14201244"/>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14201245"/>
      <w:bookmarkStart w:id="58" w:name="_Toc26656976"/>
      <w:bookmarkStart w:id="59" w:name="_Toc906772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26656984"/>
      <w:bookmarkStart w:id="67" w:name="_Toc14201253"/>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26656988"/>
      <w:bookmarkStart w:id="69" w:name="_Toc9067727"/>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26656993"/>
      <w:bookmarkStart w:id="72"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14201263"/>
      <w:bookmarkStart w:id="74" w:name="_Toc9067731"/>
      <w:bookmarkStart w:id="75" w:name="_Toc26656994"/>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3"/>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2</w:t>
            </w:r>
            <w:r>
              <w:rPr>
                <w:rFonts w:hint="eastAsia" w:ascii="Times New Roman" w:hAnsi="Times New Roman" w:eastAsia="宋体" w:cs="Times New Roman"/>
                <w:szCs w:val="21"/>
                <w:lang w:val="en-US" w:eastAsia="zh-CN"/>
              </w:rPr>
              <w:t>5</w:t>
            </w:r>
          </w:p>
        </w:tc>
        <w:tc>
          <w:tcPr>
            <w:tcW w:w="4668" w:type="dxa"/>
            <w:vAlign w:val="center"/>
          </w:tcPr>
          <w:p>
            <w:pPr>
              <w:spacing w:line="440" w:lineRule="exact"/>
              <w:jc w:val="left"/>
              <w:rPr>
                <w:rFonts w:ascii="Times New Roman" w:hAnsi="Times New Roman"/>
              </w:rPr>
            </w:pPr>
            <w:r>
              <w:rPr>
                <w:rFonts w:hint="eastAsia" w:ascii="Times New Roman" w:hAnsi="Times New Roman"/>
              </w:rPr>
              <w:t>设备技术性能指标中完全满足供货要求</w:t>
            </w:r>
            <w:r>
              <w:rPr>
                <w:rFonts w:hint="eastAsia" w:ascii="Times New Roman" w:hAnsi="Times New Roman"/>
                <w:lang w:val="en-US" w:eastAsia="zh-CN"/>
              </w:rPr>
              <w:t>的</w:t>
            </w:r>
            <w:r>
              <w:rPr>
                <w:rFonts w:hint="eastAsia" w:ascii="Times New Roman" w:hAnsi="Times New Roman"/>
              </w:rPr>
              <w:t>，得满分2</w:t>
            </w:r>
            <w:r>
              <w:rPr>
                <w:rFonts w:hint="eastAsia" w:ascii="Times New Roman" w:hAnsi="Times New Roman"/>
                <w:lang w:val="en-US" w:eastAsia="zh-CN"/>
              </w:rPr>
              <w:t>5</w:t>
            </w:r>
            <w:r>
              <w:rPr>
                <w:rFonts w:hint="eastAsia" w:ascii="Times New Roman" w:hAnsi="Times New Roman"/>
              </w:rPr>
              <w:t>分，</w:t>
            </w:r>
            <w:r>
              <w:rPr>
                <w:rFonts w:hint="eastAsia"/>
                <w:color w:val="auto"/>
                <w:spacing w:val="-2"/>
                <w:szCs w:val="21"/>
                <w:highlight w:val="none"/>
                <w:shd w:val="clear" w:color="auto" w:fill="auto"/>
              </w:rPr>
              <w:t>加“★”项的，每有一项不满足的或不响应的扣</w:t>
            </w:r>
            <w:r>
              <w:rPr>
                <w:rFonts w:hint="eastAsia" w:ascii="Times New Roman" w:eastAsia="宋体"/>
                <w:color w:val="auto"/>
                <w:spacing w:val="-2"/>
                <w:szCs w:val="21"/>
                <w:highlight w:val="none"/>
                <w:shd w:val="clear" w:color="auto" w:fill="auto"/>
                <w:lang w:val="en-US" w:eastAsia="zh-CN"/>
              </w:rPr>
              <w:t>5</w:t>
            </w:r>
            <w:r>
              <w:rPr>
                <w:rFonts w:hint="eastAsia"/>
                <w:color w:val="auto"/>
                <w:spacing w:val="-2"/>
                <w:szCs w:val="21"/>
                <w:highlight w:val="none"/>
                <w:shd w:val="clear" w:color="auto" w:fill="auto"/>
              </w:rPr>
              <w:t>分；未加“★”项的，每有一项不满足的或不响应的扣</w:t>
            </w:r>
            <w:r>
              <w:rPr>
                <w:rFonts w:hint="eastAsia" w:ascii="Times New Roman" w:eastAsia="宋体"/>
                <w:color w:val="auto"/>
                <w:spacing w:val="-2"/>
                <w:szCs w:val="21"/>
                <w:highlight w:val="none"/>
                <w:shd w:val="clear" w:color="auto" w:fill="auto"/>
                <w:lang w:val="en-US" w:eastAsia="zh-CN"/>
              </w:rPr>
              <w:t>2</w:t>
            </w:r>
            <w:r>
              <w:rPr>
                <w:rFonts w:hint="eastAsia"/>
                <w:color w:val="auto"/>
                <w:spacing w:val="-2"/>
                <w:szCs w:val="21"/>
                <w:highlight w:val="none"/>
                <w:shd w:val="clear" w:color="auto" w:fill="auto"/>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6"/>
            </w:pPr>
            <w:r>
              <w:rPr>
                <w:rFonts w:hint="eastAsia"/>
              </w:rPr>
              <w:t>满足资格业绩要求，得基本分1分。</w:t>
            </w:r>
          </w:p>
          <w:p>
            <w:pPr>
              <w:pStyle w:val="6"/>
            </w:pPr>
            <w:r>
              <w:rPr>
                <w:rFonts w:hint="eastAsia"/>
              </w:rPr>
              <w:t>除资格业绩外，投标人自202</w:t>
            </w:r>
            <w:r>
              <w:rPr>
                <w:rFonts w:hint="eastAsia"/>
                <w:lang w:val="en-US" w:eastAsia="zh-CN"/>
              </w:rPr>
              <w:t>1</w:t>
            </w:r>
            <w:r>
              <w:rPr>
                <w:rFonts w:hint="eastAsia"/>
              </w:rPr>
              <w:t>年1月1日（以合同签订时间为准）至今，</w:t>
            </w:r>
            <w:r>
              <w:rPr>
                <w:rFonts w:hint="eastAsia"/>
                <w:lang w:val="en-US" w:eastAsia="zh-CN"/>
              </w:rPr>
              <w:t>单个合同金额不少于100万元的皮卡车的</w:t>
            </w:r>
            <w:r>
              <w:rPr>
                <w:rFonts w:hint="eastAsia"/>
              </w:rPr>
              <w:t>供货业绩，加</w:t>
            </w:r>
            <w:r>
              <w:rPr>
                <w:rFonts w:hint="eastAsia"/>
                <w:lang w:val="en-US" w:eastAsia="zh-CN"/>
              </w:rPr>
              <w:t>1</w:t>
            </w:r>
            <w:r>
              <w:rPr>
                <w:rFonts w:hint="eastAsia"/>
              </w:rPr>
              <w:t>分，最多加3分。</w:t>
            </w:r>
          </w:p>
          <w:p>
            <w:pPr>
              <w:pStyle w:val="6"/>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p>
          <w:p>
            <w:pPr>
              <w:pStyle w:val="6"/>
              <w:rPr>
                <w:rFonts w:hint="eastAsia" w:ascii="Times New Roman" w:hAnsi="Times New Roman" w:eastAsia="宋体" w:cs="Times New Roman"/>
                <w:color w:val="auto"/>
                <w:sz w:val="24"/>
                <w:szCs w:val="24"/>
                <w:highlight w:val="none"/>
                <w:shd w:val="clear" w:color="auto" w:fill="auto"/>
                <w:lang w:val="en-US" w:eastAsia="zh-CN"/>
              </w:rPr>
            </w:pPr>
          </w:p>
          <w:p>
            <w:pPr>
              <w:pStyle w:val="6"/>
              <w:rPr>
                <w:rFonts w:ascii="Times New Roman" w:hAnsi="Times New Roman" w:eastAsia="宋体" w:cs="Times New Roman"/>
                <w:szCs w:val="21"/>
              </w:rPr>
            </w:pPr>
            <w:r>
              <w:rPr>
                <w:rFonts w:hint="eastAsia" w:ascii="Times New Roman" w:hAnsi="Times New Roman" w:eastAsia="宋体" w:cs="Times New Roman"/>
                <w:color w:val="auto"/>
                <w:sz w:val="24"/>
                <w:szCs w:val="24"/>
                <w:highlight w:val="none"/>
                <w:shd w:val="clear" w:color="auto" w:fill="auto"/>
                <w:lang w:val="en-US" w:eastAsia="zh-CN"/>
              </w:rPr>
              <w:t>质保期</w:t>
            </w:r>
          </w:p>
          <w:p>
            <w:pPr>
              <w:pStyle w:val="6"/>
              <w:rPr>
                <w:rFonts w:ascii="Times New Roman" w:hAnsi="Times New Roman" w:eastAsia="宋体" w:cs="Times New Roman"/>
                <w:szCs w:val="21"/>
              </w:rPr>
            </w:pP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p>
          <w:p>
            <w:pPr>
              <w:pStyle w:val="6"/>
              <w:jc w:val="center"/>
              <w:rPr>
                <w:rFonts w:hint="default"/>
                <w:lang w:val="en-US" w:eastAsia="zh-CN"/>
              </w:rPr>
            </w:pPr>
            <w:r>
              <w:rPr>
                <w:rFonts w:hint="eastAsia"/>
                <w:lang w:val="en-US" w:eastAsia="zh-CN"/>
              </w:rPr>
              <w:t>2</w:t>
            </w:r>
          </w:p>
        </w:tc>
        <w:tc>
          <w:tcPr>
            <w:tcW w:w="4668" w:type="dxa"/>
            <w:vAlign w:val="center"/>
          </w:tcPr>
          <w:p>
            <w:pPr>
              <w:adjustRightInd w:val="0"/>
              <w:snapToGrid w:val="0"/>
              <w:spacing w:line="360" w:lineRule="auto"/>
              <w:jc w:val="left"/>
              <w:rPr>
                <w:rFonts w:hint="eastAsia" w:ascii="Times New Roman" w:hAnsi="Times New Roman" w:eastAsia="宋体" w:cs="宋体"/>
                <w:color w:val="auto"/>
                <w:kern w:val="0"/>
                <w:sz w:val="24"/>
                <w:szCs w:val="21"/>
                <w:highlight w:val="none"/>
                <w:shd w:val="clear" w:color="auto" w:fill="auto"/>
                <w:lang w:eastAsia="zh-CN"/>
              </w:rPr>
            </w:pPr>
            <w:r>
              <w:rPr>
                <w:rFonts w:hint="eastAsia" w:ascii="Times New Roman" w:hAnsi="Times New Roman" w:eastAsia="宋体" w:cs="宋体"/>
                <w:color w:val="auto"/>
                <w:kern w:val="0"/>
                <w:sz w:val="24"/>
                <w:szCs w:val="21"/>
                <w:highlight w:val="none"/>
                <w:shd w:val="clear" w:color="auto" w:fill="auto"/>
              </w:rPr>
              <w:t>在满足招标文件免费质保期要求的基础之上，</w:t>
            </w:r>
            <w:r>
              <w:rPr>
                <w:rFonts w:hint="eastAsia" w:ascii="Times New Roman" w:hAnsi="Times New Roman" w:eastAsia="宋体" w:cs="宋体"/>
                <w:color w:val="auto"/>
                <w:kern w:val="0"/>
                <w:sz w:val="24"/>
                <w:szCs w:val="21"/>
                <w:highlight w:val="none"/>
                <w:shd w:val="clear" w:color="auto" w:fill="auto"/>
                <w:lang w:val="en-US" w:eastAsia="zh-CN"/>
              </w:rPr>
              <w:t>投标人承诺的质保期</w:t>
            </w:r>
            <w:r>
              <w:rPr>
                <w:rFonts w:hint="eastAsia" w:ascii="Times New Roman" w:hAnsi="Times New Roman" w:eastAsia="宋体" w:cs="宋体"/>
                <w:color w:val="auto"/>
                <w:kern w:val="0"/>
                <w:sz w:val="24"/>
                <w:szCs w:val="21"/>
                <w:highlight w:val="none"/>
                <w:shd w:val="clear" w:color="auto" w:fill="auto"/>
              </w:rPr>
              <w:t>每</w:t>
            </w:r>
            <w:r>
              <w:rPr>
                <w:rFonts w:hint="eastAsia" w:ascii="Times New Roman" w:hAnsi="Times New Roman" w:eastAsia="宋体" w:cs="宋体"/>
                <w:color w:val="auto"/>
                <w:kern w:val="0"/>
                <w:sz w:val="24"/>
                <w:szCs w:val="21"/>
                <w:highlight w:val="none"/>
                <w:shd w:val="clear" w:color="auto" w:fill="auto"/>
                <w:lang w:val="en-US" w:eastAsia="zh-CN"/>
              </w:rPr>
              <w:t>延长1</w:t>
            </w:r>
            <w:r>
              <w:rPr>
                <w:rFonts w:hint="eastAsia" w:ascii="Times New Roman" w:hAnsi="Times New Roman" w:eastAsia="宋体" w:cs="宋体"/>
                <w:color w:val="auto"/>
                <w:kern w:val="0"/>
                <w:sz w:val="24"/>
                <w:szCs w:val="21"/>
                <w:highlight w:val="none"/>
                <w:shd w:val="clear" w:color="auto" w:fill="auto"/>
              </w:rPr>
              <w:t>年（或公里数每</w:t>
            </w:r>
            <w:r>
              <w:rPr>
                <w:rFonts w:hint="eastAsia" w:ascii="Times New Roman" w:hAnsi="Times New Roman" w:eastAsia="宋体" w:cs="宋体"/>
                <w:color w:val="auto"/>
                <w:kern w:val="0"/>
                <w:sz w:val="24"/>
                <w:szCs w:val="21"/>
                <w:highlight w:val="none"/>
                <w:shd w:val="clear" w:color="auto" w:fill="auto"/>
                <w:lang w:val="en-US" w:eastAsia="zh-CN"/>
              </w:rPr>
              <w:t>延长</w:t>
            </w:r>
            <w:r>
              <w:rPr>
                <w:rFonts w:hint="eastAsia" w:ascii="Times New Roman" w:hAnsi="Times New Roman" w:eastAsia="宋体" w:cs="宋体"/>
                <w:color w:val="auto"/>
                <w:kern w:val="0"/>
                <w:sz w:val="24"/>
                <w:szCs w:val="21"/>
                <w:highlight w:val="none"/>
                <w:shd w:val="clear" w:color="auto" w:fill="auto"/>
              </w:rPr>
              <w:t>50000公里）得</w:t>
            </w:r>
            <w:r>
              <w:rPr>
                <w:rFonts w:hint="eastAsia" w:ascii="Times New Roman" w:hAnsi="Times New Roman" w:eastAsia="宋体" w:cs="宋体"/>
                <w:color w:val="auto"/>
                <w:kern w:val="0"/>
                <w:sz w:val="24"/>
                <w:szCs w:val="21"/>
                <w:highlight w:val="none"/>
                <w:shd w:val="clear" w:color="auto" w:fill="auto"/>
                <w:lang w:val="en-US" w:eastAsia="zh-CN"/>
              </w:rPr>
              <w:t>1</w:t>
            </w:r>
            <w:r>
              <w:rPr>
                <w:rFonts w:hint="eastAsia" w:ascii="Times New Roman" w:hAnsi="Times New Roman" w:eastAsia="宋体" w:cs="宋体"/>
                <w:color w:val="auto"/>
                <w:kern w:val="0"/>
                <w:sz w:val="24"/>
                <w:szCs w:val="21"/>
                <w:highlight w:val="none"/>
                <w:shd w:val="clear" w:color="auto" w:fill="auto"/>
              </w:rPr>
              <w:t>分</w:t>
            </w:r>
            <w:r>
              <w:rPr>
                <w:rFonts w:hint="eastAsia" w:ascii="Times New Roman" w:hAnsi="Times New Roman" w:eastAsia="宋体" w:cs="宋体"/>
                <w:color w:val="auto"/>
                <w:kern w:val="0"/>
                <w:sz w:val="24"/>
                <w:szCs w:val="21"/>
                <w:highlight w:val="none"/>
                <w:shd w:val="clear" w:color="auto" w:fill="auto"/>
                <w:lang w:eastAsia="zh-CN"/>
              </w:rPr>
              <w:t>，</w:t>
            </w:r>
            <w:r>
              <w:rPr>
                <w:rFonts w:hint="eastAsia" w:ascii="Times New Roman" w:hAnsi="Times New Roman" w:eastAsia="宋体" w:cs="宋体"/>
                <w:color w:val="auto"/>
                <w:kern w:val="0"/>
                <w:sz w:val="24"/>
                <w:szCs w:val="21"/>
                <w:highlight w:val="none"/>
                <w:shd w:val="clear" w:color="auto" w:fill="auto"/>
              </w:rPr>
              <w:t>最多</w:t>
            </w:r>
            <w:r>
              <w:rPr>
                <w:rFonts w:hint="eastAsia" w:ascii="Times New Roman" w:hAnsi="Times New Roman" w:eastAsia="宋体" w:cs="宋体"/>
                <w:color w:val="auto"/>
                <w:kern w:val="0"/>
                <w:sz w:val="24"/>
                <w:szCs w:val="21"/>
                <w:highlight w:val="none"/>
                <w:shd w:val="clear" w:color="auto" w:fill="auto"/>
                <w:lang w:val="en-US" w:eastAsia="zh-CN"/>
              </w:rPr>
              <w:t>得2分</w:t>
            </w:r>
          </w:p>
          <w:p>
            <w:pPr>
              <w:adjustRightInd w:val="0"/>
              <w:snapToGrid w:val="0"/>
              <w:spacing w:line="276" w:lineRule="auto"/>
            </w:pPr>
            <w:r>
              <w:rPr>
                <w:rFonts w:hint="eastAsia" w:ascii="Times New Roman" w:hAnsi="Times New Roman" w:eastAsia="宋体" w:cs="宋体"/>
                <w:b/>
                <w:bCs/>
                <w:color w:val="auto"/>
                <w:kern w:val="0"/>
                <w:sz w:val="24"/>
                <w:szCs w:val="21"/>
                <w:highlight w:val="none"/>
                <w:shd w:val="clear" w:color="auto" w:fill="auto"/>
              </w:rPr>
              <w:t>注：投标人须在投标文件对免费质保期进行承诺。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交货日期</w:t>
            </w:r>
            <w:r>
              <w:rPr>
                <w:rFonts w:ascii="Times New Roman" w:hAnsi="Times New Roman" w:eastAsia="宋体" w:cs="Times New Roman"/>
                <w:szCs w:val="21"/>
              </w:rPr>
              <w:t>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6"/>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6"/>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w:t>
      </w:r>
    </w:p>
    <w:p>
      <w:pPr>
        <w:pStyle w:val="6"/>
      </w:pPr>
    </w:p>
    <w:p>
      <w:pPr>
        <w:pStyle w:val="7"/>
        <w:rPr>
          <w:rFonts w:asciiTheme="minorEastAsia" w:hAnsiTheme="minorEastAsia" w:cstheme="minorEastAsia"/>
          <w:szCs w:val="21"/>
        </w:rPr>
      </w:pPr>
      <w:r>
        <w:rPr>
          <w:rFonts w:hint="eastAsia" w:asciiTheme="minorEastAsia" w:hAnsiTheme="minorEastAsia" w:cstheme="minorEastAsia"/>
          <w:szCs w:val="21"/>
        </w:rPr>
        <w:t>6.2 收款账户</w:t>
      </w:r>
    </w:p>
    <w:p>
      <w:pPr>
        <w:pStyle w:val="8"/>
        <w:rPr>
          <w:rFonts w:asciiTheme="minorEastAsia" w:hAnsiTheme="minorEastAsia" w:cstheme="minorEastAsia"/>
          <w:szCs w:val="21"/>
        </w:rPr>
      </w:pPr>
      <w:r>
        <w:rPr>
          <w:rFonts w:hint="eastAsia" w:asciiTheme="minorEastAsia" w:hAnsiTheme="minorEastAsia" w:cstheme="minorEastAsia"/>
          <w:szCs w:val="21"/>
        </w:rPr>
        <w:t>账户名：</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账号：</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开户行：</w:t>
      </w:r>
    </w:p>
    <w:p>
      <w:pPr>
        <w:pStyle w:val="8"/>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5"/>
        <w:tblpPr w:leftFromText="180" w:rightFromText="180" w:vertAnchor="text" w:horzAnchor="page" w:tblpXSpec="center" w:tblpY="902"/>
        <w:tblOverlap w:val="never"/>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8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项目</w:t>
            </w:r>
          </w:p>
        </w:tc>
        <w:tc>
          <w:tcPr>
            <w:tcW w:w="8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基本要求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★1.车身颜色：工程黄</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2.车型类别：皮卡</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3.数量：13辆</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4.座位数：5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★发动机</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1.排放标准：国六B（柴油版）</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2.发动机马力：≥140马力</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3.最大输出功率：≥104KW</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4.发动机最大扭矩(N·m/rpm)≥350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5.发动机排量（L）≥2.0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6.气缸数：4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变速箱</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采用8AT自动变速器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eastAsia" w:ascii="宋体" w:hAnsi="宋体" w:eastAsia="宋体" w:cs="宋体"/>
                <w:color w:val="000000"/>
                <w:kern w:val="0"/>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宋体" w:hAnsi="宋体" w:eastAsia="宋体" w:cs="宋体"/>
                <w:color w:val="000000"/>
                <w:kern w:val="0"/>
                <w:sz w:val="21"/>
                <w:szCs w:val="21"/>
                <w:lang w:val="en-US" w:eastAsia="zh-CN" w:bidi="ar-SA"/>
              </w:rPr>
              <w:t>底盘</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1.驱动形式：分时四驱系统+4L档+4H档；</w:t>
            </w:r>
          </w:p>
          <w:p>
            <w:pPr>
              <w:widowControl/>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2.车身尺寸（mm）：长5280-5413，宽1883-1905，高1882-1835；</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3.货厢尺寸（mm）：长1475-1520，宽1475-1520，高500-540。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宋体" w:eastAsia="宋体" w:cs="宋体"/>
                <w:color w:val="000000"/>
                <w:kern w:val="0"/>
                <w:sz w:val="21"/>
                <w:szCs w:val="21"/>
                <w:lang w:val="en-US" w:eastAsia="zh-CN" w:bidi="ar-SA"/>
              </w:rPr>
              <w:t>★</w:t>
            </w:r>
            <w:r>
              <w:rPr>
                <w:rFonts w:hint="eastAsia" w:ascii="Times New Roman" w:hAnsi="Times New Roman" w:eastAsia="宋体" w:cs="Times New Roman"/>
                <w:kern w:val="2"/>
                <w:sz w:val="21"/>
                <w:szCs w:val="21"/>
                <w:lang w:val="en-US" w:eastAsia="zh-CN" w:bidi="ar-SA"/>
              </w:rPr>
              <w:t>轮胎</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≥245/70R17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default"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灯光</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卤素大灯+LED日行灯+ LED后视镜转向灯+高位刹车灯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安全配置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extAlignment w:val="baseline"/>
              <w:rPr>
                <w:rFonts w:ascii="Times New Roman" w:hAnsi="Times New Roman" w:eastAsia="宋体" w:cs="Times New Roman"/>
                <w:bCs/>
                <w:sz w:val="21"/>
                <w:szCs w:val="21"/>
              </w:rPr>
            </w:pPr>
            <w:r>
              <w:rPr>
                <w:rFonts w:hint="eastAsia" w:ascii="Calibri" w:hAnsi="Calibri" w:eastAsia="宋体" w:cs="Times New Roman"/>
                <w:lang w:eastAsia="zh-CN"/>
              </w:rPr>
              <w:t>四轮碟刹、ABS+EBD、安全气囊、胎压监测、ESP车身稳定系统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其他配置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Calibri" w:hAnsi="Calibri" w:eastAsia="宋体" w:cs="Times New Roman"/>
                <w:lang w:eastAsia="zh-CN"/>
              </w:rPr>
            </w:pPr>
            <w:r>
              <w:rPr>
                <w:rFonts w:hint="eastAsia" w:ascii="宋体" w:hAnsi="宋体" w:eastAsia="宋体" w:cs="宋体"/>
                <w:color w:val="000000"/>
                <w:kern w:val="0"/>
                <w:sz w:val="21"/>
                <w:szCs w:val="21"/>
                <w:lang w:val="en-US" w:eastAsia="zh-CN"/>
              </w:rPr>
              <w:t>1.</w:t>
            </w:r>
            <w:r>
              <w:rPr>
                <w:rFonts w:hint="eastAsia" w:ascii="Calibri" w:hAnsi="Calibri" w:eastAsia="宋体" w:cs="Times New Roman"/>
                <w:lang w:eastAsia="zh-CN"/>
              </w:rPr>
              <w:t>倒车雷达、倒车影像、电动车窗、电动后视镜、定速巡航、前盖气动撑杆、</w:t>
            </w:r>
            <w:r>
              <w:rPr>
                <w:rFonts w:hint="eastAsia" w:ascii="Calibri" w:hAnsi="Calibri" w:eastAsia="宋体" w:cs="Times New Roman"/>
                <w:lang w:val="en-US" w:eastAsia="zh-CN"/>
              </w:rPr>
              <w:t>彩显</w:t>
            </w:r>
            <w:r>
              <w:rPr>
                <w:rFonts w:hint="eastAsia" w:ascii="Calibri" w:hAnsi="Calibri" w:eastAsia="宋体" w:cs="Times New Roman"/>
                <w:lang w:eastAsia="zh-CN"/>
              </w:rPr>
              <w:t>中控屏</w:t>
            </w:r>
            <w:r>
              <w:rPr>
                <w:rFonts w:hint="eastAsia" w:ascii="宋体" w:hAnsi="宋体" w:eastAsia="宋体" w:cs="宋体"/>
                <w:color w:val="000000"/>
                <w:kern w:val="0"/>
                <w:sz w:val="21"/>
                <w:szCs w:val="21"/>
                <w:highlight w:val="none"/>
                <w:lang w:val="en-US" w:eastAsia="zh-CN"/>
              </w:rPr>
              <w:t>；</w:t>
            </w:r>
          </w:p>
          <w:p>
            <w:pPr>
              <w:widowControl/>
              <w:textAlignment w:val="baseline"/>
              <w:rPr>
                <w:rFonts w:ascii="Times New Roman" w:hAnsi="Times New Roman" w:eastAsia="宋体" w:cs="Times New Roman"/>
                <w:bCs/>
                <w:sz w:val="21"/>
                <w:szCs w:val="21"/>
              </w:rPr>
            </w:pPr>
            <w:r>
              <w:rPr>
                <w:rFonts w:hint="eastAsia" w:ascii="宋体" w:hAnsi="宋体" w:eastAsia="宋体" w:cs="宋体"/>
                <w:color w:val="000000"/>
                <w:kern w:val="0"/>
                <w:sz w:val="21"/>
                <w:szCs w:val="21"/>
              </w:rPr>
              <w:t>★</w:t>
            </w:r>
            <w:r>
              <w:rPr>
                <w:rFonts w:hint="eastAsia" w:ascii="Calibri" w:hAnsi="Calibri" w:eastAsia="宋体" w:cs="Times New Roman"/>
                <w:lang w:val="en-US" w:eastAsia="zh-CN"/>
              </w:rPr>
              <w:t>2.</w:t>
            </w:r>
            <w:r>
              <w:rPr>
                <w:rFonts w:hint="eastAsia" w:ascii="Calibri" w:hAnsi="Calibri" w:eastAsia="宋体" w:cs="Times New Roman"/>
                <w:lang w:eastAsia="zh-CN"/>
              </w:rPr>
              <w:t>无钥匙进入一键启动、多功能方向盘带换挡拨</w:t>
            </w:r>
            <w:r>
              <w:rPr>
                <w:rFonts w:hint="eastAsia" w:ascii="Calibri" w:hAnsi="Calibri" w:eastAsia="宋体" w:cs="Times New Roman"/>
                <w:highlight w:val="none"/>
                <w:lang w:eastAsia="zh-CN"/>
              </w:rPr>
              <w:t>片</w:t>
            </w:r>
            <w:r>
              <w:rPr>
                <w:rFonts w:hint="eastAsia" w:ascii="宋体" w:hAnsi="宋体" w:eastAsia="宋体" w:cs="宋体"/>
                <w:color w:val="000000"/>
                <w:kern w:val="0"/>
                <w:sz w:val="21"/>
                <w:szCs w:val="21"/>
                <w:highlight w:val="none"/>
                <w:lang w:val="en-US" w:eastAsia="zh-CN"/>
              </w:rPr>
              <w:t>、尿素再生SCR系统，可以实现一键再生。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270" w:type="dxa"/>
            <w:tcBorders>
              <w:left w:val="single" w:color="000000" w:sz="4" w:space="0"/>
              <w:right w:val="single" w:color="000000" w:sz="4" w:space="0"/>
            </w:tcBorders>
            <w:vAlign w:val="center"/>
          </w:tcPr>
          <w:p>
            <w:pPr>
              <w:ind w:left="108"/>
              <w:jc w:val="both"/>
              <w:textAlignment w:val="baseline"/>
              <w:rPr>
                <w:rFonts w:ascii="Times New Roman" w:hAnsi="Times New Roman" w:eastAsia="宋体" w:cs="Times New Roman"/>
                <w:kern w:val="2"/>
                <w:sz w:val="21"/>
                <w:szCs w:val="21"/>
                <w:lang w:val="en-US" w:eastAsia="zh-CN" w:bidi="zh-CN"/>
              </w:rPr>
            </w:pPr>
            <w:r>
              <w:rPr>
                <w:rFonts w:hint="eastAsia" w:ascii="Calibri" w:hAnsi="Calibri" w:eastAsia="宋体" w:cs="宋体"/>
                <w:color w:val="000000"/>
                <w:kern w:val="2"/>
                <w:sz w:val="21"/>
                <w:szCs w:val="21"/>
                <w:lang w:val="en-US" w:eastAsia="zh-CN" w:bidi="ar-SA"/>
              </w:rPr>
              <w:t>其他要求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adjustRightInd w:val="0"/>
              <w:snapToGrid w:val="0"/>
              <w:jc w:val="left"/>
              <w:textAlignment w:val="baseline"/>
              <w:rPr>
                <w:rFonts w:hint="eastAsia" w:ascii="宋体" w:hAnsi="宋体" w:eastAsia="宋体" w:cs="宋体"/>
                <w:kern w:val="0"/>
                <w:szCs w:val="21"/>
              </w:rPr>
            </w:pPr>
            <w:r>
              <w:rPr>
                <w:rFonts w:hint="eastAsia" w:ascii="宋体" w:hAnsi="宋体" w:eastAsia="宋体" w:cs="宋体"/>
                <w:kern w:val="0"/>
                <w:szCs w:val="21"/>
                <w:lang w:val="en-US" w:eastAsia="zh-CN"/>
              </w:rPr>
              <w:t>1.</w:t>
            </w:r>
            <w:r>
              <w:rPr>
                <w:rFonts w:hint="eastAsia" w:ascii="宋体" w:hAnsi="宋体" w:eastAsia="宋体" w:cs="宋体"/>
                <w:kern w:val="0"/>
                <w:szCs w:val="21"/>
              </w:rPr>
              <w:t>车辆上牌工作由供货商负责办理，相关费用由供货商承担。</w:t>
            </w:r>
          </w:p>
          <w:p>
            <w:pPr>
              <w:numPr>
                <w:ilvl w:val="0"/>
                <w:numId w:val="0"/>
              </w:numPr>
              <w:jc w:val="both"/>
              <w:textAlignment w:val="baseline"/>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2.全车脚垫、座椅垫、玻璃贴膜。</w:t>
            </w:r>
          </w:p>
          <w:p>
            <w:pPr>
              <w:jc w:val="both"/>
              <w:textAlignment w:val="baseline"/>
              <w:rPr>
                <w:rFonts w:hint="default" w:ascii="宋体" w:hAnsi="宋体" w:eastAsia="宋体" w:cs="宋体"/>
                <w:kern w:val="0"/>
                <w:sz w:val="21"/>
                <w:szCs w:val="21"/>
                <w:lang w:val="en-US" w:eastAsia="zh-CN" w:bidi="zh-CN"/>
              </w:rPr>
            </w:pPr>
            <w:r>
              <w:rPr>
                <w:rFonts w:hint="eastAsia" w:ascii="宋体" w:hAnsi="宋体" w:eastAsia="宋体" w:cs="宋体"/>
                <w:kern w:val="2"/>
                <w:sz w:val="21"/>
                <w:szCs w:val="21"/>
                <w:lang w:val="en-US" w:eastAsia="zh-CN" w:bidi="zh-CN"/>
              </w:rPr>
              <w:t>3.车辆</w:t>
            </w:r>
            <w:r>
              <w:rPr>
                <w:rFonts w:hint="eastAsia" w:ascii="宋体" w:hAnsi="宋体" w:eastAsia="宋体" w:cs="宋体"/>
                <w:kern w:val="2"/>
                <w:sz w:val="21"/>
                <w:szCs w:val="21"/>
                <w:lang w:val="zh-CN" w:eastAsia="zh-CN" w:bidi="zh-CN"/>
              </w:rPr>
              <w:t>购置税和</w:t>
            </w:r>
            <w:r>
              <w:rPr>
                <w:rFonts w:hint="eastAsia" w:ascii="宋体" w:hAnsi="宋体" w:eastAsia="宋体" w:cs="宋体"/>
                <w:kern w:val="2"/>
                <w:sz w:val="21"/>
                <w:szCs w:val="21"/>
                <w:lang w:val="en-US" w:eastAsia="zh-CN" w:bidi="zh-CN"/>
              </w:rPr>
              <w:t>车辆</w:t>
            </w:r>
            <w:r>
              <w:rPr>
                <w:rFonts w:hint="eastAsia" w:ascii="宋体" w:hAnsi="宋体" w:eastAsia="宋体" w:cs="宋体"/>
                <w:kern w:val="2"/>
                <w:sz w:val="21"/>
                <w:szCs w:val="21"/>
                <w:lang w:val="zh-CN" w:eastAsia="zh-CN" w:bidi="zh-CN"/>
              </w:rPr>
              <w:t>保险</w:t>
            </w:r>
            <w:r>
              <w:rPr>
                <w:rFonts w:hint="eastAsia" w:ascii="宋体" w:hAnsi="宋体" w:eastAsia="宋体" w:cs="宋体"/>
                <w:kern w:val="2"/>
                <w:sz w:val="21"/>
                <w:szCs w:val="21"/>
                <w:lang w:val="en-US" w:eastAsia="zh-CN" w:bidi="zh-CN"/>
              </w:rPr>
              <w:t>费</w:t>
            </w:r>
            <w:r>
              <w:rPr>
                <w:rFonts w:hint="eastAsia" w:ascii="宋体" w:hAnsi="宋体" w:eastAsia="宋体" w:cs="宋体"/>
                <w:kern w:val="0"/>
                <w:sz w:val="21"/>
                <w:szCs w:val="21"/>
                <w:lang w:val="zh-CN" w:eastAsia="zh-CN" w:bidi="zh-CN"/>
              </w:rPr>
              <w:t>由采购人</w:t>
            </w:r>
            <w:r>
              <w:rPr>
                <w:rFonts w:hint="eastAsia" w:ascii="宋体" w:hAnsi="宋体" w:eastAsia="宋体" w:cs="宋体"/>
                <w:kern w:val="0"/>
                <w:sz w:val="21"/>
                <w:szCs w:val="21"/>
                <w:lang w:val="en-US" w:eastAsia="zh-CN" w:bidi="zh-CN"/>
              </w:rPr>
              <w:t>自行购买，供货商配合</w:t>
            </w:r>
            <w:r>
              <w:rPr>
                <w:rFonts w:hint="eastAsia" w:ascii="宋体" w:hAnsi="宋体" w:eastAsia="宋体" w:cs="宋体"/>
                <w:kern w:val="0"/>
                <w:sz w:val="21"/>
                <w:szCs w:val="21"/>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zh-CN" w:eastAsia="zh-CN" w:bidi="zh-CN"/>
              </w:rPr>
            </w:pPr>
            <w:r>
              <w:rPr>
                <w:rFonts w:hint="eastAsia" w:ascii="宋体" w:hAnsi="宋体" w:eastAsia="宋体" w:cs="宋体"/>
                <w:kern w:val="2"/>
                <w:sz w:val="21"/>
                <w:szCs w:val="21"/>
                <w:lang w:val="en-US" w:eastAsia="zh-CN" w:bidi="ar-SA"/>
              </w:rPr>
              <w:t>质保及服务要求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1.质保期服务：按照国家三包标准执行</w:t>
            </w:r>
          </w:p>
          <w:p>
            <w:pPr>
              <w:spacing w:before="0" w:beforeAutospacing="0" w:after="0" w:afterAutospacing="0" w:line="0" w:lineRule="atLeast"/>
              <w:jc w:val="left"/>
              <w:textAlignment w:val="auto"/>
              <w:rPr>
                <w:rFonts w:ascii="宋体" w:hAnsi="宋体" w:eastAsia="宋体" w:cs="宋体"/>
                <w:color w:val="000000"/>
                <w:kern w:val="0"/>
                <w:sz w:val="21"/>
                <w:szCs w:val="21"/>
                <w:lang w:val="en-US" w:eastAsia="zh-CN" w:bidi="ar-SA"/>
              </w:rPr>
            </w:pPr>
            <w:r>
              <w:rPr>
                <w:rFonts w:hint="eastAsia" w:ascii="宋体" w:hAnsi="宋体" w:eastAsia="宋体" w:cs="宋体"/>
                <w:kern w:val="2"/>
                <w:sz w:val="21"/>
                <w:szCs w:val="21"/>
                <w:lang w:val="en-US" w:eastAsia="zh-CN" w:bidi="ar-SA"/>
              </w:rPr>
              <w:t>2.整车质保期限：</w:t>
            </w:r>
            <w:r>
              <w:rPr>
                <w:rFonts w:hint="eastAsia" w:ascii="Times New Roman" w:hAnsi="Times New Roman" w:eastAsia="宋体" w:cs="Times New Roman"/>
                <w:kern w:val="0"/>
                <w:sz w:val="21"/>
                <w:szCs w:val="21"/>
                <w:lang w:val="en-US" w:eastAsia="zh-CN" w:bidi="ar-SA"/>
              </w:rPr>
              <w:t>≥</w:t>
            </w:r>
            <w:r>
              <w:rPr>
                <w:rFonts w:hint="eastAsia" w:ascii="宋体" w:hAnsi="宋体" w:eastAsia="宋体" w:cs="宋体"/>
                <w:kern w:val="2"/>
                <w:sz w:val="21"/>
                <w:szCs w:val="21"/>
                <w:lang w:val="en-US" w:eastAsia="zh-CN" w:bidi="ar-SA"/>
              </w:rPr>
              <w:t>3年或6万公里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报价要求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报价包括了为实施和完成本项目所需的设计费、制造费、材料费、利润、税费、运输费、验收、技术服务、安装调试、备品备件、工具及上牌费等达到使用条件及质保期维护维修的一切费用。</w:t>
            </w:r>
            <w:r>
              <w:rPr>
                <w:rFonts w:hint="eastAsia" w:ascii="宋体" w:hAnsi="宋体" w:eastAsia="宋体" w:cs="宋体"/>
                <w:kern w:val="0"/>
                <w:sz w:val="21"/>
                <w:szCs w:val="21"/>
                <w:lang w:val="en-US" w:eastAsia="zh-CN" w:bidi="ar-SA"/>
              </w:rPr>
              <w:t>车辆购置税和车辆保险由采购人</w:t>
            </w:r>
            <w:r>
              <w:rPr>
                <w:rFonts w:hint="eastAsia" w:ascii="Calibri" w:hAnsi="Calibri" w:eastAsia="宋体" w:cs="宋体"/>
                <w:kern w:val="0"/>
                <w:sz w:val="21"/>
                <w:szCs w:val="21"/>
                <w:lang w:val="en-US" w:eastAsia="zh-CN" w:bidi="ar-SA"/>
              </w:rPr>
              <w:t>自行购买</w:t>
            </w:r>
            <w:r>
              <w:rPr>
                <w:rFonts w:hint="eastAsia" w:ascii="宋体" w:hAnsi="宋体" w:eastAsia="宋体" w:cs="宋体"/>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付款条件及方式</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1.验收合格、完成上牌、交货后并收到全额增值税发票后，采购人在</w:t>
            </w:r>
            <w:r>
              <w:rPr>
                <w:rFonts w:hint="eastAsia" w:ascii="宋体" w:hAnsi="宋体" w:eastAsia="宋体" w:cs="宋体"/>
                <w:kern w:val="0"/>
                <w:szCs w:val="21"/>
                <w:lang w:val="en-US" w:eastAsia="zh-CN"/>
              </w:rPr>
              <w:t>15</w:t>
            </w:r>
            <w:r>
              <w:rPr>
                <w:rFonts w:hint="eastAsia" w:ascii="宋体" w:hAnsi="宋体" w:eastAsia="宋体" w:cs="宋体"/>
                <w:kern w:val="0"/>
                <w:szCs w:val="21"/>
              </w:rPr>
              <w:t>个工作日内一次性支付合同全部价格。</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2.付款方式：</w:t>
            </w:r>
            <w:r>
              <w:rPr>
                <w:rFonts w:hint="eastAsia" w:ascii="宋体" w:hAnsi="宋体" w:eastAsia="宋体" w:cs="宋体"/>
                <w:kern w:val="0"/>
                <w:szCs w:val="21"/>
                <w:lang w:val="en-US" w:eastAsia="zh-CN"/>
              </w:rPr>
              <w:t>公对公</w:t>
            </w:r>
            <w:r>
              <w:rPr>
                <w:rFonts w:hint="eastAsia" w:ascii="宋体" w:hAnsi="宋体" w:eastAsia="宋体" w:cs="宋体"/>
                <w:kern w:val="0"/>
                <w:szCs w:val="21"/>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交货时间及地点</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2"/>
                <w:sz w:val="21"/>
                <w:szCs w:val="21"/>
                <w:lang w:val="en-US" w:eastAsia="zh-CN" w:bidi="ar-SA"/>
              </w:rPr>
              <w:t>交货期为合同签订后15日内完成。</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2.交货地点根据采购人要求指定地点交货（安徽省内）。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验收要求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1.供应商应提供产品质量合格证书、使用说明书、维修保养手册、行驶证、一次性证书、配件及工具等。</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2.供应商必须严格按照技术参数及合同文件约定的要求供货，否则采购人有权拒收。</w:t>
            </w:r>
          </w:p>
        </w:tc>
      </w:tr>
    </w:tbl>
    <w:p/>
    <w:p>
      <w:pPr>
        <w:rPr>
          <w:rFonts w:ascii="Times New Roman" w:hAnsi="Times New Roman" w:eastAsia="宋体" w:cs="Times New Roman"/>
          <w:highlight w:val="green"/>
        </w:rPr>
      </w:pPr>
    </w:p>
    <w:p>
      <w:pPr>
        <w:pStyle w:val="6"/>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3125"/>
      <w:bookmarkStart w:id="80" w:name="_Toc27869"/>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w:t>
      </w:r>
      <w:r>
        <w:rPr>
          <w:rFonts w:hint="eastAsia" w:ascii="宋体" w:hAnsi="宋体" w:eastAsia="宋体" w:cs="宋体"/>
          <w:bCs/>
          <w:szCs w:val="21"/>
          <w:lang w:val="en-US" w:eastAsia="zh-CN"/>
        </w:rPr>
        <w:t>4</w:t>
      </w:r>
      <w:r>
        <w:rPr>
          <w:rFonts w:hint="eastAsia" w:ascii="宋体" w:hAnsi="宋体" w:eastAsia="宋体" w:cs="宋体"/>
          <w:bCs/>
          <w:szCs w:val="21"/>
        </w:rPr>
        <w:t>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9210"/>
      <w:bookmarkStart w:id="84" w:name="_Toc2123"/>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2"/>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w:t>
      </w:r>
      <w:r>
        <w:rPr>
          <w:rFonts w:hint="eastAsia" w:ascii="Times New Roman" w:hAnsi="Times New Roman" w:eastAsia="黑体" w:cs="Times New Roman"/>
          <w:szCs w:val="21"/>
          <w:lang w:val="en-US" w:eastAsia="zh-CN"/>
        </w:rPr>
        <w:t xml:space="preserve">      </w:t>
      </w:r>
      <w:r>
        <w:rPr>
          <w:rFonts w:ascii="Times New Roman" w:hAnsi="Times New Roman" w:eastAsia="黑体" w:cs="Times New Roman"/>
          <w:szCs w:val="21"/>
        </w:rPr>
        <w:t>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17394_WPSOffice_Level1"/>
      <w:bookmarkStart w:id="87" w:name="_Toc27552_WPSOffice_Level1"/>
      <w:bookmarkStart w:id="88" w:name="_Toc5145_WPSOffice_Level1"/>
      <w:bookmarkStart w:id="89" w:name="_Toc1914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5520_WPSOffice_Level2"/>
      <w:bookmarkStart w:id="91"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2351_WPSOffice_Level2"/>
      <w:bookmarkStart w:id="95" w:name="_Toc21974_WPSOffice_Level2"/>
      <w:r>
        <w:rPr>
          <w:rFonts w:ascii="Times New Roman" w:hAnsi="Times New Roman" w:eastAsia="黑体" w:cs="Times New Roman"/>
          <w:sz w:val="28"/>
          <w:szCs w:val="28"/>
        </w:rPr>
        <w:t>目</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6353_WPSOffice_Level1"/>
      <w:bookmarkStart w:id="97" w:name="_Toc30529_WPSOffice_Level1"/>
      <w:bookmarkStart w:id="98" w:name="_Toc23368_WPSOffice_Level1"/>
      <w:bookmarkStart w:id="99" w:name="_Toc11424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31927_WPSOffice_Level1"/>
      <w:bookmarkStart w:id="102" w:name="_Toc5317_WPSOffice_Level1"/>
      <w:bookmarkStart w:id="103" w:name="_Toc32729_WPSOffice_Level1"/>
      <w:bookmarkStart w:id="104" w:name="_Toc21229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3356_WPSOffice_Level1"/>
      <w:bookmarkStart w:id="106" w:name="_Toc25965_WPSOffice_Level1"/>
      <w:bookmarkStart w:id="107" w:name="_Toc29085_WPSOffice_Level1"/>
      <w:bookmarkStart w:id="108" w:name="_Toc4728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7453_WPSOffice_Level1"/>
      <w:bookmarkStart w:id="110" w:name="_Toc10608_WPSOffice_Level1"/>
      <w:bookmarkStart w:id="111" w:name="_Toc23744_WPSOffice_Level1"/>
      <w:bookmarkStart w:id="112" w:name="_Toc1896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9601_WPSOffice_Level1"/>
      <w:bookmarkStart w:id="114" w:name="_Toc1578_WPSOffice_Level1"/>
      <w:bookmarkStart w:id="115" w:name="_Toc9006_WPSOffice_Level1"/>
      <w:bookmarkStart w:id="116" w:name="_Toc2375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24082_WPSOffice_Level1"/>
      <w:bookmarkStart w:id="118" w:name="_Toc31314_WPSOffice_Level1"/>
      <w:bookmarkStart w:id="119" w:name="_Toc12459_WPSOffice_Level1"/>
      <w:bookmarkStart w:id="120"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30273_WPSOffice_Level1"/>
      <w:bookmarkStart w:id="124" w:name="_Toc27403_WPSOffice_Level1"/>
      <w:bookmarkStart w:id="125" w:name="_Toc32648_WPSOffice_Level1"/>
      <w:bookmarkStart w:id="126" w:name="_Toc25804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0234_WPSOffice_Level1"/>
      <w:bookmarkStart w:id="128" w:name="_Toc4051_WPSOffice_Level1"/>
      <w:bookmarkStart w:id="129" w:name="_Toc32152_WPSOffice_Level1"/>
      <w:bookmarkStart w:id="130" w:name="_Toc23147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1687_WPSOffice_Level1"/>
      <w:bookmarkStart w:id="134" w:name="_Toc18312_WPSOffice_Level1"/>
      <w:bookmarkStart w:id="135" w:name="_Toc30031_WPSOffice_Level1"/>
      <w:bookmarkStart w:id="136" w:name="_Toc29399_WPSOffice_Level1"/>
      <w:bookmarkStart w:id="137" w:name="_Toc2765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6"/>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360" w:firstLineChars="1400"/>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360" w:firstLineChars="1400"/>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32350_WPSOffice_Level1"/>
      <w:bookmarkStart w:id="139" w:name="_Toc12530_WPSOffice_Level1"/>
      <w:bookmarkStart w:id="140" w:name="_Toc8695_WPSOffice_Level1"/>
      <w:bookmarkStart w:id="141" w:name="_Toc14563_WPSOffice_Level1"/>
      <w:bookmarkStart w:id="142" w:name="_Toc18668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5153_WPSOffice_Level2"/>
      <w:bookmarkStart w:id="144" w:name="_Toc2080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9768_WPSOffice_Level2"/>
      <w:bookmarkStart w:id="1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6"/>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24530_WPSOffice_Level1"/>
      <w:bookmarkStart w:id="148" w:name="_Toc15186_WPSOffice_Level1"/>
      <w:bookmarkStart w:id="149" w:name="_Toc24567_WPSOffice_Level1"/>
      <w:bookmarkStart w:id="150" w:name="_Toc32085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5"/>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31445_WPSOffice_Level1"/>
      <w:bookmarkStart w:id="153" w:name="_Toc22815_WPSOffice_Level1"/>
      <w:bookmarkStart w:id="154" w:name="_Toc7738_WPSOffice_Level1"/>
      <w:bookmarkStart w:id="155" w:name="_Toc23545_WPSOffice_Level1"/>
      <w:bookmarkStart w:id="156"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7600_WPSOffice_Level2"/>
      <w:bookmarkStart w:id="158" w:name="_Toc2807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5"/>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7"/>
        <w:spacing w:line="240" w:lineRule="atLeast"/>
        <w:ind w:left="560" w:leftChars="0" w:right="-512" w:rightChars="-244" w:hanging="560" w:hangingChars="200"/>
        <w:jc w:val="center"/>
        <w:rPr>
          <w:rFonts w:ascii="Times New Roman" w:hAnsi="Times New Roman" w:cs="Times New Roman"/>
          <w:sz w:val="28"/>
          <w:szCs w:val="28"/>
        </w:rPr>
      </w:pPr>
      <w:bookmarkStart w:id="159" w:name="_Toc5072_WPSOffice_Level1"/>
      <w:bookmarkStart w:id="160" w:name="_Toc3772_WPSOffice_Level1"/>
      <w:bookmarkStart w:id="161" w:name="_Toc18547_WPSOffice_Level1"/>
      <w:bookmarkStart w:id="162" w:name="_Toc1452_WPSOffice_Level1"/>
      <w:bookmarkStart w:id="163" w:name="_Toc1900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6"/>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12019_WPSOffice_Level1"/>
      <w:bookmarkStart w:id="165" w:name="_Toc30712_WPSOffice_Level1"/>
      <w:bookmarkStart w:id="166" w:name="_Toc3893_WPSOffice_Level1"/>
      <w:bookmarkStart w:id="167" w:name="_Toc5403_WPSOffice_Level1"/>
      <w:bookmarkStart w:id="168" w:name="_Toc9267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6"/>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6"/>
        <w:jc w:val="right"/>
        <w:rPr>
          <w:u w:val="single"/>
        </w:rPr>
      </w:pPr>
      <w:r>
        <w:rPr>
          <w:rFonts w:ascii="Times New Roman" w:hAnsi="Times New Roman" w:cs="Times New Roman"/>
          <w:sz w:val="24"/>
        </w:rPr>
        <w:t>年月日</w:t>
      </w:r>
    </w:p>
    <w:p>
      <w:pPr>
        <w:pStyle w:val="6"/>
      </w:pPr>
    </w:p>
    <w:p>
      <w:pPr>
        <w:pStyle w:val="6"/>
        <w:spacing w:line="440" w:lineRule="exact"/>
        <w:rPr>
          <w:rFonts w:ascii="Times New Roman" w:hAnsi="Times New Roman" w:cs="Times New Roman"/>
          <w:sz w:val="24"/>
        </w:rPr>
      </w:pPr>
    </w:p>
    <w:p>
      <w:pPr>
        <w:spacing w:line="400" w:lineRule="atLeast"/>
      </w:pPr>
    </w:p>
    <w:p>
      <w:pPr>
        <w:pStyle w:val="6"/>
      </w:pPr>
    </w:p>
    <w:p>
      <w:pPr>
        <w:pStyle w:val="6"/>
      </w:pPr>
    </w:p>
    <w:p>
      <w:pPr>
        <w:pStyle w:val="6"/>
      </w:pPr>
    </w:p>
    <w:p>
      <w:pPr>
        <w:pStyle w:val="6"/>
      </w:pPr>
    </w:p>
    <w:p>
      <w:pPr>
        <w:pStyle w:val="6"/>
      </w:pPr>
    </w:p>
    <w:p>
      <w:pPr>
        <w:pStyle w:val="6"/>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5"/>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6"/>
        <w:jc w:val="center"/>
        <w:rPr>
          <w:rFonts w:ascii="黑体" w:hAnsi="黑体" w:eastAsia="黑体" w:cs="黑体"/>
          <w:sz w:val="28"/>
          <w:szCs w:val="28"/>
        </w:rPr>
      </w:pPr>
    </w:p>
    <w:p>
      <w:pPr>
        <w:pStyle w:val="39"/>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6"/>
        <w:jc w:val="center"/>
        <w:rPr>
          <w:rFonts w:ascii="黑体" w:hAnsi="黑体" w:eastAsia="黑体" w:cs="黑体"/>
          <w:sz w:val="28"/>
          <w:szCs w:val="28"/>
        </w:rPr>
      </w:pPr>
    </w:p>
    <w:p>
      <w:pPr>
        <w:pStyle w:val="6"/>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6"/>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宋体" w:hAnsi="宋体" w:eastAsia="宋体" w:cs="宋体"/>
          <w:sz w:val="28"/>
          <w:szCs w:val="28"/>
        </w:rPr>
      </w:pPr>
      <w:r>
        <w:rPr>
          <w:rFonts w:hint="eastAsia" w:ascii="宋体" w:hAnsi="宋体" w:eastAsia="宋体" w:cs="宋体"/>
          <w:sz w:val="28"/>
          <w:szCs w:val="28"/>
        </w:rPr>
        <w:t>备品备件清单</w:t>
      </w:r>
    </w:p>
    <w:p>
      <w:pPr>
        <w:pStyle w:val="6"/>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6"/>
        <w:rPr>
          <w:rFonts w:ascii="宋体" w:hAnsi="宋体" w:eastAsia="宋体" w:cs="宋体"/>
          <w:sz w:val="28"/>
          <w:szCs w:val="28"/>
        </w:rPr>
      </w:pPr>
      <w:r>
        <w:rPr>
          <w:rFonts w:hint="eastAsia" w:ascii="宋体" w:hAnsi="宋体" w:eastAsia="宋体" w:cs="宋体"/>
          <w:sz w:val="28"/>
          <w:szCs w:val="28"/>
        </w:rPr>
        <w:t>专用工具清单（如有）</w:t>
      </w:r>
    </w:p>
    <w:p>
      <w:pPr>
        <w:pStyle w:val="6"/>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1"/>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2927E8"/>
    <w:rsid w:val="03360A51"/>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35DCE"/>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14E61"/>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93DC9"/>
    <w:rsid w:val="131D7C46"/>
    <w:rsid w:val="13217712"/>
    <w:rsid w:val="132F62D2"/>
    <w:rsid w:val="134A310C"/>
    <w:rsid w:val="137511FB"/>
    <w:rsid w:val="139157D5"/>
    <w:rsid w:val="13A613F8"/>
    <w:rsid w:val="13A61F8A"/>
    <w:rsid w:val="13BB74A5"/>
    <w:rsid w:val="13EB2E20"/>
    <w:rsid w:val="13EE17CA"/>
    <w:rsid w:val="13F71AAC"/>
    <w:rsid w:val="13F727DE"/>
    <w:rsid w:val="140531B2"/>
    <w:rsid w:val="141603C9"/>
    <w:rsid w:val="143E047A"/>
    <w:rsid w:val="145C30F7"/>
    <w:rsid w:val="146A70C1"/>
    <w:rsid w:val="14980C4A"/>
    <w:rsid w:val="14980E16"/>
    <w:rsid w:val="1498179F"/>
    <w:rsid w:val="14BA42FD"/>
    <w:rsid w:val="14C07725"/>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2642"/>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248B5"/>
    <w:rsid w:val="205B3A40"/>
    <w:rsid w:val="207C19DD"/>
    <w:rsid w:val="208D1423"/>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3928C0"/>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B4B4C"/>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EA4A57"/>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2FC00527"/>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393383"/>
    <w:rsid w:val="31576CC8"/>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40E45"/>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9874FC"/>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53E08"/>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000C0E"/>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07193"/>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06705D"/>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2C7790"/>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A6D94"/>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5"/>
    <w:autoRedefine/>
    <w:qFormat/>
    <w:uiPriority w:val="0"/>
    <w:pPr>
      <w:keepNext/>
      <w:keepLines/>
      <w:numPr>
        <w:ilvl w:val="0"/>
        <w:numId w:val="2"/>
      </w:numPr>
      <w:spacing w:line="360" w:lineRule="auto"/>
      <w:outlineLvl w:val="1"/>
    </w:pPr>
    <w:rPr>
      <w:rFonts w:ascii="Arial" w:hAnsi="Arial"/>
      <w:b/>
      <w:bCs/>
      <w:sz w:val="28"/>
      <w:szCs w:val="32"/>
    </w:rPr>
  </w:style>
  <w:style w:type="paragraph" w:styleId="2">
    <w:name w:val="heading 3"/>
    <w:next w:val="1"/>
    <w:autoRedefine/>
    <w:qFormat/>
    <w:uiPriority w:val="0"/>
    <w:pPr>
      <w:keepNext/>
      <w:keepLines/>
      <w:widowControl w:val="0"/>
      <w:spacing w:before="120" w:after="120" w:line="360" w:lineRule="auto"/>
      <w:jc w:val="left"/>
      <w:outlineLvl w:val="2"/>
    </w:pPr>
    <w:rPr>
      <w:rFonts w:ascii="黑体" w:hAnsi="黑体" w:eastAsia="黑体" w:cs="Times New Roman"/>
      <w:bCs/>
      <w:sz w:val="24"/>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Body Text"/>
    <w:basedOn w:val="1"/>
    <w:autoRedefine/>
    <w:qFormat/>
    <w:uiPriority w:val="0"/>
    <w:pPr>
      <w:spacing w:after="120"/>
    </w:p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Balloon Text"/>
    <w:basedOn w:val="1"/>
    <w:link w:val="41"/>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spacing w:beforeAutospacing="1" w:afterAutospacing="1"/>
      <w:jc w:val="left"/>
    </w:pPr>
    <w:rPr>
      <w:rFonts w:cs="Times New Roman"/>
      <w:kern w:val="0"/>
      <w:sz w:val="24"/>
    </w:rPr>
  </w:style>
  <w:style w:type="paragraph" w:styleId="13">
    <w:name w:val="Title"/>
    <w:basedOn w:val="1"/>
    <w:next w:val="1"/>
    <w:autoRedefine/>
    <w:qFormat/>
    <w:uiPriority w:val="0"/>
    <w:pPr>
      <w:jc w:val="center"/>
    </w:pPr>
    <w:rPr>
      <w:sz w:val="30"/>
      <w:szCs w:val="30"/>
    </w:rPr>
  </w:style>
  <w:style w:type="paragraph" w:styleId="14">
    <w:name w:val="Body Text First Indent 2"/>
    <w:basedOn w:val="7"/>
    <w:next w:val="6"/>
    <w:autoRedefine/>
    <w:unhideWhenUsed/>
    <w:qFormat/>
    <w:uiPriority w:val="99"/>
    <w:pPr>
      <w:ind w:firstLine="420" w:firstLineChars="200"/>
    </w:pPr>
    <w:rPr>
      <w:szCs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FollowedHyperlink"/>
    <w:basedOn w:val="17"/>
    <w:autoRedefine/>
    <w:qFormat/>
    <w:uiPriority w:val="0"/>
    <w:rPr>
      <w:rFonts w:hint="eastAsia" w:ascii="微软雅黑" w:hAnsi="微软雅黑" w:eastAsia="微软雅黑" w:cs="微软雅黑"/>
      <w:color w:val="323232"/>
      <w:sz w:val="21"/>
      <w:szCs w:val="21"/>
      <w:u w:val="none"/>
    </w:rPr>
  </w:style>
  <w:style w:type="character" w:styleId="21">
    <w:name w:val="Hyperlink"/>
    <w:basedOn w:val="17"/>
    <w:autoRedefine/>
    <w:qFormat/>
    <w:uiPriority w:val="0"/>
    <w:rPr>
      <w:color w:val="0000FF"/>
      <w:u w:val="single"/>
    </w:rPr>
  </w:style>
  <w:style w:type="paragraph" w:customStyle="1" w:styleId="22">
    <w:name w:val="WPSOffice手动目录 1"/>
    <w:autoRedefine/>
    <w:qFormat/>
    <w:uiPriority w:val="0"/>
    <w:rPr>
      <w:rFonts w:asciiTheme="minorHAnsi" w:hAnsiTheme="minorHAnsi" w:eastAsiaTheme="minorEastAsia" w:cstheme="minorBidi"/>
      <w:lang w:val="en-US" w:eastAsia="zh-CN" w:bidi="ar-SA"/>
    </w:rPr>
  </w:style>
  <w:style w:type="paragraph" w:customStyle="1" w:styleId="23">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4">
    <w:name w:val="正文 题目"/>
    <w:basedOn w:val="1"/>
    <w:autoRedefine/>
    <w:qFormat/>
    <w:uiPriority w:val="0"/>
    <w:pPr>
      <w:jc w:val="center"/>
    </w:pPr>
    <w:rPr>
      <w:rFonts w:ascii="黑体" w:hAnsi="黑体" w:eastAsia="黑体"/>
      <w:sz w:val="28"/>
    </w:rPr>
  </w:style>
  <w:style w:type="character" w:customStyle="1" w:styleId="25">
    <w:name w:val="标题 2 Char"/>
    <w:link w:val="4"/>
    <w:autoRedefine/>
    <w:qFormat/>
    <w:uiPriority w:val="0"/>
    <w:rPr>
      <w:rFonts w:ascii="Arial" w:hAnsi="Arial"/>
      <w:b/>
      <w:bCs/>
      <w:sz w:val="28"/>
      <w:szCs w:val="32"/>
    </w:rPr>
  </w:style>
  <w:style w:type="character" w:customStyle="1" w:styleId="26">
    <w:name w:val="font01"/>
    <w:basedOn w:val="17"/>
    <w:autoRedefine/>
    <w:qFormat/>
    <w:uiPriority w:val="0"/>
    <w:rPr>
      <w:rFonts w:hint="eastAsia" w:ascii="宋体" w:hAnsi="宋体" w:eastAsia="宋体" w:cs="宋体"/>
      <w:color w:val="000000"/>
      <w:sz w:val="20"/>
      <w:szCs w:val="20"/>
      <w:u w:val="none"/>
    </w:rPr>
  </w:style>
  <w:style w:type="character" w:customStyle="1" w:styleId="27">
    <w:name w:val="font31"/>
    <w:basedOn w:val="17"/>
    <w:autoRedefine/>
    <w:qFormat/>
    <w:uiPriority w:val="0"/>
    <w:rPr>
      <w:rFonts w:hint="eastAsia" w:ascii="宋体" w:hAnsi="宋体" w:eastAsia="宋体" w:cs="宋体"/>
      <w:color w:val="000000"/>
      <w:sz w:val="24"/>
      <w:szCs w:val="24"/>
      <w:u w:val="none"/>
    </w:rPr>
  </w:style>
  <w:style w:type="character" w:customStyle="1" w:styleId="28">
    <w:name w:val="font61"/>
    <w:basedOn w:val="17"/>
    <w:autoRedefine/>
    <w:qFormat/>
    <w:uiPriority w:val="0"/>
    <w:rPr>
      <w:rFonts w:hint="default" w:ascii="Times New Roman" w:hAnsi="Times New Roman" w:cs="Times New Roman"/>
      <w:color w:val="000000"/>
      <w:sz w:val="24"/>
      <w:szCs w:val="24"/>
      <w:u w:val="none"/>
    </w:rPr>
  </w:style>
  <w:style w:type="character" w:customStyle="1" w:styleId="29">
    <w:name w:val="font11"/>
    <w:basedOn w:val="17"/>
    <w:autoRedefine/>
    <w:qFormat/>
    <w:uiPriority w:val="0"/>
    <w:rPr>
      <w:rFonts w:hint="eastAsia" w:ascii="宋体" w:hAnsi="宋体" w:eastAsia="宋体" w:cs="宋体"/>
      <w:color w:val="000000"/>
      <w:sz w:val="24"/>
      <w:szCs w:val="24"/>
      <w:u w:val="none"/>
    </w:rPr>
  </w:style>
  <w:style w:type="character" w:customStyle="1" w:styleId="30">
    <w:name w:val="font51"/>
    <w:basedOn w:val="17"/>
    <w:autoRedefine/>
    <w:qFormat/>
    <w:uiPriority w:val="0"/>
    <w:rPr>
      <w:rFonts w:ascii="Calibri" w:hAnsi="Calibri" w:cs="Calibri"/>
      <w:color w:val="000000"/>
      <w:sz w:val="24"/>
      <w:szCs w:val="24"/>
      <w:u w:val="none"/>
    </w:rPr>
  </w:style>
  <w:style w:type="character" w:customStyle="1" w:styleId="31">
    <w:name w:val="font21"/>
    <w:basedOn w:val="17"/>
    <w:autoRedefine/>
    <w:qFormat/>
    <w:uiPriority w:val="0"/>
    <w:rPr>
      <w:rFonts w:hint="eastAsia" w:ascii="宋体" w:hAnsi="宋体" w:eastAsia="宋体" w:cs="宋体"/>
      <w:b/>
      <w:bCs/>
      <w:color w:val="000000"/>
      <w:sz w:val="20"/>
      <w:szCs w:val="20"/>
      <w:u w:val="none"/>
    </w:rPr>
  </w:style>
  <w:style w:type="character" w:customStyle="1" w:styleId="32">
    <w:name w:val="font81"/>
    <w:basedOn w:val="17"/>
    <w:autoRedefine/>
    <w:qFormat/>
    <w:uiPriority w:val="0"/>
    <w:rPr>
      <w:rFonts w:hint="default" w:ascii="Times New Roman" w:hAnsi="Times New Roman" w:cs="Times New Roman"/>
      <w:b/>
      <w:bCs/>
      <w:color w:val="000000"/>
      <w:sz w:val="20"/>
      <w:szCs w:val="20"/>
      <w:u w:val="none"/>
    </w:rPr>
  </w:style>
  <w:style w:type="character" w:customStyle="1" w:styleId="33">
    <w:name w:val="font41"/>
    <w:basedOn w:val="17"/>
    <w:autoRedefine/>
    <w:qFormat/>
    <w:uiPriority w:val="0"/>
    <w:rPr>
      <w:rFonts w:hint="eastAsia" w:ascii="宋体" w:hAnsi="宋体" w:eastAsia="宋体" w:cs="宋体"/>
      <w:color w:val="000000"/>
      <w:sz w:val="20"/>
      <w:szCs w:val="20"/>
      <w:u w:val="none"/>
    </w:rPr>
  </w:style>
  <w:style w:type="character" w:customStyle="1" w:styleId="34">
    <w:name w:val="font71"/>
    <w:basedOn w:val="17"/>
    <w:autoRedefine/>
    <w:qFormat/>
    <w:uiPriority w:val="0"/>
    <w:rPr>
      <w:rFonts w:hint="eastAsia" w:ascii="宋体" w:hAnsi="宋体" w:eastAsia="宋体" w:cs="宋体"/>
      <w:b/>
      <w:bCs/>
      <w:color w:val="000000"/>
      <w:sz w:val="20"/>
      <w:szCs w:val="20"/>
      <w:u w:val="none"/>
      <w:vertAlign w:val="superscript"/>
    </w:rPr>
  </w:style>
  <w:style w:type="character" w:customStyle="1" w:styleId="35">
    <w:name w:val="hover52"/>
    <w:basedOn w:val="17"/>
    <w:autoRedefine/>
    <w:qFormat/>
    <w:uiPriority w:val="0"/>
    <w:rPr>
      <w:color w:val="D61521"/>
    </w:rPr>
  </w:style>
  <w:style w:type="paragraph" w:customStyle="1" w:styleId="36">
    <w:name w:val="Table Paragraph"/>
    <w:basedOn w:val="1"/>
    <w:autoRedefine/>
    <w:qFormat/>
    <w:uiPriority w:val="1"/>
    <w:rPr>
      <w:rFonts w:ascii="宋体" w:hAnsi="宋体" w:eastAsia="宋体" w:cs="宋体"/>
      <w:lang w:val="zh-CN" w:bidi="zh-CN"/>
    </w:rPr>
  </w:style>
  <w:style w:type="character" w:customStyle="1" w:styleId="37">
    <w:name w:val="页眉 Char"/>
    <w:basedOn w:val="17"/>
    <w:link w:val="11"/>
    <w:autoRedefine/>
    <w:qFormat/>
    <w:uiPriority w:val="0"/>
    <w:rPr>
      <w:rFonts w:asciiTheme="minorHAnsi" w:hAnsiTheme="minorHAnsi" w:eastAsiaTheme="minorEastAsia" w:cstheme="minorBidi"/>
      <w:kern w:val="2"/>
      <w:sz w:val="18"/>
      <w:szCs w:val="18"/>
    </w:rPr>
  </w:style>
  <w:style w:type="paragraph" w:styleId="38">
    <w:name w:val="List Paragraph"/>
    <w:basedOn w:val="1"/>
    <w:autoRedefine/>
    <w:unhideWhenUsed/>
    <w:qFormat/>
    <w:uiPriority w:val="99"/>
    <w:pPr>
      <w:ind w:firstLine="420" w:firstLineChars="200"/>
    </w:pPr>
  </w:style>
  <w:style w:type="paragraph" w:customStyle="1" w:styleId="39">
    <w:name w:val="正文1"/>
    <w:basedOn w:val="1"/>
    <w:autoRedefine/>
    <w:qFormat/>
    <w:uiPriority w:val="0"/>
    <w:pPr>
      <w:spacing w:line="400" w:lineRule="exact"/>
    </w:pPr>
    <w:rPr>
      <w:rFonts w:ascii="宋体" w:hAnsi="宋体" w:cs="宋体"/>
      <w:b/>
      <w:bCs/>
      <w:color w:val="000000"/>
      <w:kern w:val="0"/>
      <w:szCs w:val="21"/>
    </w:rPr>
  </w:style>
  <w:style w:type="character" w:customStyle="1" w:styleId="40">
    <w:name w:val="NormalCharacter"/>
    <w:autoRedefine/>
    <w:semiHidden/>
    <w:qFormat/>
    <w:uiPriority w:val="0"/>
  </w:style>
  <w:style w:type="character" w:customStyle="1" w:styleId="41">
    <w:name w:val="批注框文本 Char"/>
    <w:basedOn w:val="17"/>
    <w:link w:val="9"/>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37</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2024-04-17T01:14:10Z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438AF38965144BEF8D25FD34CF842E79_13</vt:lpwstr>
  </property>
</Properties>
</file>