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sz w:val="44"/>
          <w:szCs w:val="44"/>
        </w:rPr>
      </w:pPr>
      <w:r>
        <w:rPr>
          <w:rFonts w:hint="eastAsia" w:ascii="宋体" w:hAnsi="宋体" w:eastAsia="宋体" w:cs="宋体"/>
          <w:b/>
          <w:bCs/>
          <w:sz w:val="44"/>
          <w:szCs w:val="44"/>
        </w:rPr>
        <w:t xml:space="preserve"> 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年度安徽交运集团汽车销售有限公司</w:t>
      </w:r>
      <w:r>
        <w:rPr>
          <w:rFonts w:hint="eastAsia" w:ascii="宋体" w:hAnsi="宋体" w:eastAsia="宋体" w:cs="宋体"/>
          <w:b/>
          <w:bCs/>
          <w:sz w:val="44"/>
          <w:szCs w:val="44"/>
          <w:lang w:val="en-US" w:eastAsia="zh-CN"/>
        </w:rPr>
        <w:t>4.8公务车辆</w:t>
      </w:r>
      <w:r>
        <w:rPr>
          <w:rFonts w:hint="eastAsia" w:ascii="宋体" w:hAnsi="宋体" w:eastAsia="宋体" w:cs="宋体"/>
          <w:b/>
          <w:bCs/>
          <w:sz w:val="44"/>
          <w:szCs w:val="44"/>
        </w:rPr>
        <w:t>采购项目</w:t>
      </w:r>
    </w:p>
    <w:p>
      <w:pPr>
        <w:widowControl/>
        <w:jc w:val="center"/>
        <w:rPr>
          <w:rFonts w:hint="eastAsia" w:ascii="宋体" w:hAnsi="宋体" w:eastAsia="宋体" w:cs="宋体"/>
          <w:b/>
          <w:bCs/>
          <w:sz w:val="44"/>
          <w:szCs w:val="44"/>
        </w:rPr>
      </w:pPr>
    </w:p>
    <w:p>
      <w:pPr>
        <w:pStyle w:val="6"/>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highlight w:val="none"/>
        </w:rPr>
      </w:pPr>
      <w:r>
        <w:rPr>
          <w:rFonts w:ascii="Times New Roman" w:hAnsi="Times New Roman" w:eastAsia="黑体" w:cs="Times New Roman"/>
          <w:sz w:val="32"/>
          <w:szCs w:val="32"/>
          <w:highlight w:val="none"/>
        </w:rPr>
        <w:t>日</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期</w:t>
      </w:r>
      <w:r>
        <w:rPr>
          <w:rFonts w:ascii="Times New Roman" w:hAnsi="Times New Roman" w:cs="Times New Roman"/>
          <w:sz w:val="32"/>
          <w:szCs w:val="32"/>
          <w:highlight w:val="none"/>
        </w:rPr>
        <w:t>：</w:t>
      </w:r>
      <w:r>
        <w:rPr>
          <w:rFonts w:hint="eastAsia" w:ascii="Times New Roman" w:hAnsi="Times New Roman" w:eastAsia="黑体" w:cs="Times New Roman"/>
          <w:sz w:val="32"/>
          <w:szCs w:val="32"/>
          <w:highlight w:val="none"/>
          <w:u w:val="single"/>
        </w:rPr>
        <w:t>202</w:t>
      </w:r>
      <w:r>
        <w:rPr>
          <w:rFonts w:hint="eastAsia" w:ascii="Times New Roman" w:hAnsi="Times New Roman" w:eastAsia="黑体" w:cs="Times New Roman"/>
          <w:sz w:val="32"/>
          <w:szCs w:val="32"/>
          <w:highlight w:val="none"/>
          <w:u w:val="single"/>
          <w:lang w:val="en-US" w:eastAsia="zh-CN"/>
        </w:rPr>
        <w:t>4</w:t>
      </w:r>
      <w:r>
        <w:rPr>
          <w:rFonts w:ascii="Times New Roman" w:hAnsi="Times New Roman" w:cs="Times New Roman"/>
          <w:sz w:val="32"/>
          <w:szCs w:val="32"/>
          <w:highlight w:val="none"/>
        </w:rPr>
        <w:t>年</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4</w:t>
      </w:r>
      <w:r>
        <w:rPr>
          <w:rFonts w:ascii="Times New Roman" w:hAnsi="Times New Roman" w:cs="Times New Roman"/>
          <w:sz w:val="32"/>
          <w:szCs w:val="32"/>
          <w:highlight w:val="none"/>
        </w:rPr>
        <w:t>月</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8</w:t>
      </w:r>
      <w:r>
        <w:rPr>
          <w:rFonts w:hint="eastAsia" w:ascii="Times New Roman" w:hAnsi="Times New Roman" w:cs="Times New Roman"/>
          <w:sz w:val="32"/>
          <w:szCs w:val="32"/>
          <w:highlight w:val="none"/>
          <w:u w:val="single"/>
        </w:rPr>
        <w:t xml:space="preserve"> </w:t>
      </w:r>
      <w:r>
        <w:rPr>
          <w:rFonts w:ascii="Times New Roman" w:hAnsi="Times New Roman" w:cs="Times New Roman"/>
          <w:sz w:val="32"/>
          <w:szCs w:val="32"/>
          <w:highlight w:val="none"/>
        </w:rPr>
        <w:t>日</w:t>
      </w:r>
    </w:p>
    <w:p>
      <w:pPr>
        <w:ind w:left="1896" w:leftChars="903"/>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6"/>
          </w:pPr>
        </w:p>
        <w:p>
          <w:pPr>
            <w:pStyle w:val="22"/>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2"/>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2"/>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2"/>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525632585"/>
      <w:bookmarkStart w:id="4" w:name="_Toc10395_WPSOffice_Level2"/>
      <w:bookmarkStart w:id="5" w:name="_Toc6496_WPSOffice_Level2"/>
      <w:bookmarkStart w:id="6" w:name="_Toc12765"/>
      <w:bookmarkStart w:id="7" w:name="_Toc13871"/>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hint="eastAsia" w:ascii="宋体" w:hAnsi="宋体" w:eastAsia="宋体" w:cs="宋体"/>
          <w:b/>
          <w:bCs/>
          <w:color w:val="FF0000"/>
          <w:sz w:val="44"/>
          <w:szCs w:val="44"/>
          <w:lang w:val="en-US" w:eastAsia="zh-CN"/>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4</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4.8公务车辆</w:t>
      </w:r>
      <w:r>
        <w:rPr>
          <w:rFonts w:hint="eastAsia" w:ascii="宋体" w:hAnsi="宋体" w:eastAsia="宋体" w:cs="宋体"/>
          <w:szCs w:val="21"/>
          <w:u w:val="single"/>
        </w:rPr>
        <w:t>采购项目</w:t>
      </w:r>
      <w:r>
        <w:rPr>
          <w:rFonts w:hint="eastAsia" w:ascii="宋体" w:hAnsi="宋体" w:eastAsia="宋体" w:cs="宋体"/>
          <w:szCs w:val="21"/>
          <w:u w:val="single"/>
          <w:lang w:val="en-US" w:eastAsia="zh-CN"/>
        </w:rPr>
        <w:t xml:space="preserve"> </w:t>
      </w:r>
    </w:p>
    <w:p>
      <w:pPr>
        <w:snapToGrid w:val="0"/>
        <w:spacing w:line="560" w:lineRule="exact"/>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r>
        <w:rPr>
          <w:rFonts w:hint="eastAsia" w:ascii="Times New Roman" w:hAnsi="Times New Roman" w:cs="Times New Roman"/>
          <w:szCs w:val="22"/>
          <w:u w:val="single"/>
          <w:lang w:val="en-US" w:eastAsia="zh-CN"/>
        </w:rPr>
        <w:t xml:space="preserve"> </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lang w:val="en-US" w:eastAsia="zh-CN"/>
        </w:rPr>
        <w:t xml:space="preserve"> 高速公路巡查和安全管理及应急处置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18453"/>
      <w:bookmarkStart w:id="11" w:name="_Toc23266_WPSOffice_Level2"/>
      <w:bookmarkStart w:id="12" w:name="_Toc8128_WPSOffice_Level2"/>
      <w:bookmarkStart w:id="13" w:name="_Toc18367_WPSOffice_Level2"/>
      <w:bookmarkStart w:id="14" w:name="_Toc10274"/>
      <w:bookmarkStart w:id="15" w:name="_Toc1785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hint="eastAsia" w:ascii="Times New Roman" w:hAnsi="Times New Roman" w:cs="Times New Roman" w:eastAsiaTheme="minorEastAsia"/>
          <w:szCs w:val="22"/>
          <w:u w:val="single"/>
          <w:lang w:val="en-US" w:eastAsia="zh-CN"/>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r>
        <w:rPr>
          <w:rFonts w:hint="eastAsia" w:ascii="Times New Roman" w:hAnsi="Times New Roman" w:cs="Times New Roman"/>
          <w:szCs w:val="22"/>
          <w:u w:val="single"/>
          <w:lang w:val="en-US" w:eastAsia="zh-CN"/>
        </w:rPr>
        <w:t xml:space="preserve"> </w:t>
      </w:r>
    </w:p>
    <w:p>
      <w:pPr>
        <w:snapToGrid w:val="0"/>
        <w:spacing w:line="500" w:lineRule="atLeast"/>
        <w:ind w:firstLine="420" w:firstLineChars="200"/>
        <w:rPr>
          <w:rFonts w:hint="eastAsia" w:ascii="Times New Roman" w:hAnsi="Times New Roman" w:cs="Times New Roman" w:eastAsiaTheme="minorEastAsia"/>
          <w:szCs w:val="22"/>
          <w:u w:val="single"/>
          <w:lang w:val="en-US" w:eastAsia="zh-CN"/>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r>
        <w:rPr>
          <w:rFonts w:hint="eastAsia" w:ascii="Times New Roman" w:hAnsi="Times New Roman" w:cs="Times New Roman"/>
          <w:szCs w:val="22"/>
          <w:u w:val="single"/>
          <w:lang w:val="en-US" w:eastAsia="zh-CN"/>
        </w:rPr>
        <w:t xml:space="preserve"> </w:t>
      </w:r>
    </w:p>
    <w:p>
      <w:pPr>
        <w:snapToGrid w:val="0"/>
        <w:spacing w:line="500" w:lineRule="atLeas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皮卡车13</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hint="eastAsia" w:ascii="Times New Roman" w:hAnsi="Times New Roman" w:cs="Times New Roman" w:eastAsiaTheme="minorEastAsia"/>
          <w:color w:val="auto"/>
          <w:szCs w:val="22"/>
          <w:u w:val="single"/>
          <w:lang w:val="en-US" w:eastAsia="zh-CN"/>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 xml:space="preserve"> 195 </w:t>
      </w:r>
      <w:r>
        <w:rPr>
          <w:rFonts w:hint="eastAsia" w:ascii="Times New Roman" w:hAnsi="Times New Roman" w:cs="Times New Roman"/>
          <w:color w:val="auto"/>
          <w:szCs w:val="22"/>
          <w:highlight w:val="none"/>
          <w:u w:val="single"/>
        </w:rPr>
        <w:t>万元</w:t>
      </w:r>
      <w:r>
        <w:rPr>
          <w:rFonts w:hint="eastAsia" w:ascii="Times New Roman" w:hAnsi="Times New Roman" w:cs="Times New Roman"/>
          <w:color w:val="auto"/>
          <w:szCs w:val="22"/>
          <w:highlight w:val="none"/>
          <w:u w:val="single"/>
          <w:lang w:val="en-US" w:eastAsia="zh-CN"/>
        </w:rPr>
        <w:t xml:space="preserve"> </w:t>
      </w:r>
    </w:p>
    <w:p>
      <w:pPr>
        <w:snapToGrid w:val="0"/>
        <w:spacing w:line="500" w:lineRule="atLeast"/>
        <w:ind w:firstLine="420" w:firstLineChars="200"/>
        <w:rPr>
          <w:rFonts w:hint="default" w:ascii="Times New Roman" w:hAnsi="Times New Roman" w:cs="Times New Roman" w:eastAsiaTheme="minorEastAsia"/>
          <w:szCs w:val="22"/>
          <w:u w:val="single"/>
          <w:lang w:val="en-US" w:eastAsia="zh-CN"/>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15</w:t>
      </w:r>
      <w:r>
        <w:rPr>
          <w:rFonts w:hint="eastAsia" w:cs="宋体"/>
          <w:szCs w:val="21"/>
          <w:u w:val="single"/>
        </w:rPr>
        <w:t>个日历日</w:t>
      </w:r>
      <w:r>
        <w:rPr>
          <w:rFonts w:hint="eastAsia" w:cs="宋体"/>
          <w:szCs w:val="21"/>
          <w:u w:val="single"/>
          <w:lang w:val="en-US" w:eastAsia="zh-CN"/>
        </w:rPr>
        <w:t xml:space="preserve">内 </w:t>
      </w:r>
    </w:p>
    <w:p>
      <w:pPr>
        <w:pStyle w:val="36"/>
        <w:spacing w:before="143"/>
        <w:ind w:right="1430"/>
        <w:jc w:val="left"/>
        <w:rPr>
          <w:sz w:val="24"/>
          <w:lang w:val="en-US"/>
        </w:rPr>
      </w:pPr>
      <w:bookmarkStart w:id="19" w:name="_Toc525632587"/>
      <w:bookmarkStart w:id="20" w:name="_Toc3714"/>
      <w:bookmarkStart w:id="21" w:name="_Toc31673_WPSOffice_Level2"/>
      <w:bookmarkStart w:id="22" w:name="_Toc6388"/>
      <w:bookmarkStart w:id="23" w:name="_Toc29516_WPSOffice_Level2"/>
      <w:bookmarkStart w:id="24" w:name="_Toc1622_WPSOffice_Level2"/>
      <w:bookmarkStart w:id="25" w:name="_Toc22379_WPSOffice_Level2"/>
      <w:r>
        <w:rPr>
          <w:rFonts w:hint="eastAsia"/>
          <w:sz w:val="24"/>
          <w:lang w:val="en-US"/>
        </w:rPr>
        <w:t>备注：</w:t>
      </w:r>
    </w:p>
    <w:p>
      <w:pPr>
        <w:pStyle w:val="4"/>
        <w:numPr>
          <w:ilvl w:val="0"/>
          <w:numId w:val="0"/>
        </w:numPr>
        <w:snapToGrid w:val="0"/>
        <w:spacing w:before="120" w:after="120" w:line="560" w:lineRule="exact"/>
        <w:ind w:left="420" w:firstLine="420" w:firstLineChars="200"/>
        <w:jc w:val="left"/>
        <w:rPr>
          <w:rFonts w:hint="eastAsia" w:ascii="Times New Roman" w:hAnsi="Times New Roman" w:cs="Times New Roman" w:eastAsiaTheme="minorEastAsia"/>
          <w:b w:val="0"/>
          <w:bCs w:val="0"/>
          <w:color w:val="auto"/>
          <w:kern w:val="2"/>
          <w:sz w:val="21"/>
          <w:szCs w:val="22"/>
          <w:highlight w:val="green"/>
          <w:lang w:val="en-US" w:eastAsia="zh-CN" w:bidi="ar-SA"/>
        </w:rPr>
      </w:pPr>
      <w:r>
        <w:rPr>
          <w:rFonts w:hint="eastAsia" w:ascii="Times New Roman" w:hAnsi="Times New Roman" w:cs="Times New Roman" w:eastAsiaTheme="minorEastAsia"/>
          <w:b w:val="0"/>
          <w:bCs w:val="0"/>
          <w:color w:val="auto"/>
          <w:kern w:val="2"/>
          <w:sz w:val="21"/>
          <w:szCs w:val="22"/>
          <w:highlight w:val="green"/>
          <w:lang w:val="en-US" w:eastAsia="zh-CN" w:bidi="ar-SA"/>
        </w:rPr>
        <w:t>报价包括了为实施和完成本项目所需的设计费、制造费、材料费、利润、税费、运输费、验收、技术服务、安装调试、备品备件、工具及上牌费等达到使用条件及质保期维护维修的一切费用。车辆购置税和车辆保险由采购人自行购买</w:t>
      </w:r>
    </w:p>
    <w:p>
      <w:pPr>
        <w:pStyle w:val="4"/>
        <w:snapToGrid w:val="0"/>
        <w:spacing w:before="120" w:after="120" w:line="560" w:lineRule="exact"/>
        <w:ind w:firstLine="403"/>
        <w:rPr>
          <w:rFonts w:ascii="Times New Roman" w:hAnsi="Times New Roman" w:eastAsia="黑体" w:cs="Times New Roman"/>
          <w:bCs w:val="0"/>
          <w:sz w:val="22"/>
          <w:szCs w:val="15"/>
          <w:lang w:val="en-US" w:eastAsia="zh-CN"/>
        </w:rPr>
      </w:pPr>
      <w:r>
        <w:rPr>
          <w:rFonts w:ascii="Times New Roman" w:hAnsi="Times New Roman" w:eastAsia="黑体" w:cs="Times New Roman"/>
          <w:bCs w:val="0"/>
          <w:sz w:val="22"/>
          <w:szCs w:val="15"/>
          <w:lang w:val="en-US" w:eastAsia="zh-CN"/>
        </w:rPr>
        <w:t>供应商资格条件</w:t>
      </w:r>
      <w:bookmarkEnd w:id="19"/>
      <w:bookmarkEnd w:id="20"/>
      <w:bookmarkEnd w:id="21"/>
      <w:bookmarkEnd w:id="22"/>
      <w:bookmarkEnd w:id="23"/>
      <w:bookmarkEnd w:id="24"/>
      <w:bookmarkEnd w:id="25"/>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2"/>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cs="Times New Roman"/>
          <w:szCs w:val="22"/>
          <w:highlight w:val="green"/>
        </w:rPr>
      </w:pPr>
      <w:r>
        <w:rPr>
          <w:rFonts w:hint="eastAsia" w:ascii="Times New Roman" w:hAnsi="Times New Roman"/>
          <w:highlight w:val="green"/>
        </w:rPr>
        <w:t>投标人自2</w:t>
      </w:r>
      <w:r>
        <w:rPr>
          <w:rFonts w:ascii="Times New Roman" w:hAnsi="Times New Roman"/>
          <w:highlight w:val="green"/>
        </w:rPr>
        <w:t>02</w:t>
      </w:r>
      <w:r>
        <w:rPr>
          <w:rFonts w:hint="eastAsia" w:ascii="Times New Roman" w:hAnsi="Times New Roman"/>
          <w:highlight w:val="green"/>
          <w:lang w:val="en-US" w:eastAsia="zh-CN"/>
        </w:rPr>
        <w:t>1</w:t>
      </w:r>
      <w:r>
        <w:rPr>
          <w:rFonts w:hint="eastAsia" w:ascii="Times New Roman" w:hAnsi="Times New Roman"/>
          <w:highlight w:val="green"/>
        </w:rPr>
        <w:t>年1月1日（以合同签订时间为准）至今，具有</w:t>
      </w:r>
      <w:r>
        <w:rPr>
          <w:rFonts w:hint="eastAsia" w:ascii="Times New Roman" w:hAnsi="Times New Roman"/>
          <w:highlight w:val="green"/>
          <w:lang w:val="en-US" w:eastAsia="zh-CN"/>
        </w:rPr>
        <w:t>1台皮卡车</w:t>
      </w:r>
      <w:r>
        <w:rPr>
          <w:rFonts w:hint="eastAsia" w:ascii="Times New Roman" w:hAnsi="Times New Roman"/>
          <w:highlight w:val="green"/>
        </w:rPr>
        <w:t>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4"/>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751"/>
      <w:bookmarkStart w:id="27" w:name="_Toc2996_WPSOffice_Level2"/>
      <w:bookmarkStart w:id="28" w:name="_Toc25666_WPSOffice_Level2"/>
      <w:bookmarkStart w:id="29" w:name="_Toc29452_WPSOffice_Level2"/>
      <w:bookmarkStart w:id="30" w:name="_Toc4109_WPSOffice_Level2"/>
      <w:bookmarkStart w:id="31" w:name="_Toc525632588"/>
      <w:bookmarkStart w:id="32" w:name="_Toc1994"/>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highlight w:val="green"/>
        </w:rPr>
        <w:t>响应文件递交的截止时间为</w:t>
      </w:r>
      <w:r>
        <w:rPr>
          <w:rFonts w:hint="eastAsia" w:ascii="Times New Roman" w:hAnsi="Times New Roman" w:cs="Times New Roman"/>
          <w:szCs w:val="22"/>
          <w:highlight w:val="green"/>
          <w:u w:val="single"/>
        </w:rPr>
        <w:t>20</w:t>
      </w:r>
      <w:r>
        <w:rPr>
          <w:rFonts w:hint="eastAsia" w:ascii="Times New Roman" w:hAnsi="Times New Roman" w:cs="Times New Roman"/>
          <w:szCs w:val="22"/>
          <w:highlight w:val="green"/>
          <w:u w:val="single"/>
          <w:lang w:val="en-US" w:eastAsia="zh-CN"/>
        </w:rPr>
        <w:t>24</w:t>
      </w:r>
      <w:r>
        <w:rPr>
          <w:rFonts w:ascii="Times New Roman" w:hAnsi="Times New Roman" w:cs="Times New Roman"/>
          <w:szCs w:val="22"/>
          <w:highlight w:val="green"/>
        </w:rPr>
        <w:t>年</w:t>
      </w:r>
      <w:r>
        <w:rPr>
          <w:rFonts w:hint="eastAsia"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4</w:t>
      </w:r>
      <w:r>
        <w:rPr>
          <w:rFonts w:hint="eastAsia" w:ascii="Times New Roman" w:hAnsi="Times New Roman" w:cs="Times New Roman"/>
          <w:szCs w:val="22"/>
          <w:highlight w:val="green"/>
          <w:u w:val="single"/>
        </w:rPr>
        <w:t xml:space="preserve"> </w:t>
      </w:r>
      <w:r>
        <w:rPr>
          <w:rFonts w:ascii="Times New Roman" w:hAnsi="Times New Roman" w:cs="Times New Roman"/>
          <w:szCs w:val="22"/>
          <w:highlight w:val="green"/>
        </w:rPr>
        <w:t>月</w:t>
      </w:r>
      <w:r>
        <w:rPr>
          <w:rFonts w:hint="eastAsia"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16</w:t>
      </w:r>
      <w:r>
        <w:rPr>
          <w:rFonts w:hint="eastAsia" w:ascii="Times New Roman" w:hAnsi="Times New Roman" w:cs="Times New Roman"/>
          <w:szCs w:val="22"/>
          <w:highlight w:val="green"/>
          <w:u w:val="single"/>
        </w:rPr>
        <w:t xml:space="preserve"> </w:t>
      </w:r>
      <w:r>
        <w:rPr>
          <w:rFonts w:ascii="Times New Roman" w:hAnsi="Times New Roman" w:cs="Times New Roman"/>
          <w:szCs w:val="22"/>
          <w:highlight w:val="green"/>
        </w:rPr>
        <w:t>日</w:t>
      </w:r>
      <w:r>
        <w:rPr>
          <w:rFonts w:hint="eastAsia" w:ascii="Times New Roman" w:hAnsi="Times New Roman" w:cs="Times New Roman"/>
          <w:szCs w:val="22"/>
          <w:highlight w:val="green"/>
          <w:u w:val="single"/>
        </w:rPr>
        <w:t xml:space="preserve"> 10 </w:t>
      </w:r>
      <w:r>
        <w:rPr>
          <w:rFonts w:ascii="Times New Roman" w:hAnsi="Times New Roman" w:cs="Times New Roman"/>
          <w:szCs w:val="22"/>
          <w:highlight w:val="green"/>
        </w:rPr>
        <w:t>时</w:t>
      </w:r>
      <w:r>
        <w:rPr>
          <w:rFonts w:hint="eastAsia" w:ascii="Times New Roman" w:hAnsi="Times New Roman" w:cs="Times New Roman"/>
          <w:szCs w:val="22"/>
          <w:highlight w:val="green"/>
          <w:u w:val="single"/>
        </w:rPr>
        <w:t>00</w:t>
      </w:r>
      <w:r>
        <w:rPr>
          <w:rFonts w:ascii="Times New Roman" w:hAnsi="Times New Roman" w:cs="Times New Roman"/>
          <w:szCs w:val="22"/>
          <w:highlight w:val="green"/>
        </w:rPr>
        <w:t>分，供应商的法定代表人或其授权代理人应于截止时间前将响应文件</w:t>
      </w:r>
      <w:r>
        <w:rPr>
          <w:rFonts w:hint="eastAsia" w:ascii="Times New Roman" w:hAnsi="Times New Roman" w:cs="Times New Roman"/>
          <w:szCs w:val="22"/>
          <w:highlight w:val="green"/>
        </w:rPr>
        <w:t>递交至</w:t>
      </w:r>
      <w:r>
        <w:rPr>
          <w:rFonts w:hint="eastAsia" w:ascii="Times New Roman" w:hAnsi="Times New Roman" w:cs="Times New Roman"/>
          <w:szCs w:val="22"/>
          <w:highlight w:val="green"/>
          <w:u w:val="single"/>
        </w:rPr>
        <w:t>合肥市胜利路35号，交通饭店三楼汽车销售有限公司</w:t>
      </w:r>
      <w:r>
        <w:rPr>
          <w:rFonts w:ascii="Times New Roman" w:hAnsi="Times New Roman" w:cs="Times New Roman"/>
          <w:szCs w:val="22"/>
          <w:highlight w:val="green"/>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6"/>
        <w:ind w:firstLine="420" w:firstLineChars="200"/>
        <w:rPr>
          <w:rFonts w:ascii="Times New Roman" w:hAnsi="Times New Roman"/>
          <w:highlight w:val="green"/>
        </w:rPr>
      </w:pPr>
      <w:r>
        <w:rPr>
          <w:rFonts w:hint="eastAsia" w:ascii="Times New Roman" w:hAnsi="Times New Roman"/>
          <w:highlight w:val="green"/>
        </w:rPr>
        <w:t>本项目无响应保证金，需发响应报名表进行报名。</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在202</w:t>
      </w:r>
      <w:r>
        <w:rPr>
          <w:rFonts w:hint="eastAsia" w:ascii="Times New Roman" w:hAnsi="Times New Roman"/>
          <w:highlight w:val="green"/>
          <w:lang w:val="en-US" w:eastAsia="zh-CN"/>
        </w:rPr>
        <w:t>4</w:t>
      </w:r>
      <w:r>
        <w:rPr>
          <w:rFonts w:hint="eastAsia" w:ascii="Times New Roman" w:hAnsi="Times New Roman"/>
          <w:highlight w:val="green"/>
        </w:rPr>
        <w:t xml:space="preserve">年 </w:t>
      </w:r>
      <w:r>
        <w:rPr>
          <w:rFonts w:hint="eastAsia" w:ascii="Times New Roman" w:hAnsi="Times New Roman"/>
          <w:highlight w:val="green"/>
          <w:lang w:val="en-US" w:eastAsia="zh-CN"/>
        </w:rPr>
        <w:t>4</w:t>
      </w:r>
      <w:r>
        <w:rPr>
          <w:rFonts w:hint="eastAsia" w:ascii="Times New Roman" w:hAnsi="Times New Roman"/>
          <w:highlight w:val="green"/>
        </w:rPr>
        <w:t>月</w:t>
      </w:r>
      <w:r>
        <w:rPr>
          <w:rFonts w:hint="eastAsia" w:ascii="Times New Roman" w:hAnsi="Times New Roman"/>
          <w:highlight w:val="green"/>
          <w:lang w:val="en-US" w:eastAsia="zh-CN"/>
        </w:rPr>
        <w:t>15</w:t>
      </w:r>
      <w:r>
        <w:rPr>
          <w:rFonts w:hint="eastAsia" w:ascii="Times New Roman" w:hAnsi="Times New Roman"/>
          <w:highlight w:val="green"/>
        </w:rPr>
        <w:t>日 15 ：00前，将响应报名表发送至</w:t>
      </w:r>
      <w:r>
        <w:fldChar w:fldCharType="begin"/>
      </w:r>
      <w:r>
        <w:instrText xml:space="preserve"> HYPERLINK "mailto:ahjyxs@163.com" </w:instrText>
      </w:r>
      <w:r>
        <w:fldChar w:fldCharType="separate"/>
      </w:r>
      <w:r>
        <w:rPr>
          <w:rStyle w:val="21"/>
          <w:rFonts w:hint="eastAsia" w:ascii="Times New Roman" w:hAnsi="Times New Roman" w:cs="Times New Roman"/>
          <w:szCs w:val="22"/>
          <w:highlight w:val="green"/>
        </w:rPr>
        <w:t>ahjyxs@163.com</w:t>
      </w:r>
      <w:r>
        <w:rPr>
          <w:rStyle w:val="21"/>
          <w:rFonts w:hint="eastAsia" w:ascii="Times New Roman" w:hAnsi="Times New Roman" w:cs="Times New Roman"/>
          <w:szCs w:val="22"/>
          <w:highlight w:val="green"/>
        </w:rPr>
        <w:fldChar w:fldCharType="end"/>
      </w:r>
      <w:r>
        <w:rPr>
          <w:rFonts w:hint="eastAsia" w:ascii="Times New Roman" w:hAnsi="Times New Roman" w:cs="Times New Roman"/>
          <w:szCs w:val="22"/>
          <w:highlight w:val="green"/>
        </w:rPr>
        <w:t>进行确认报名。</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6829"/>
      <w:bookmarkStart w:id="39" w:name="_Toc525632592"/>
      <w:bookmarkStart w:id="40" w:name="_Toc321_WPSOffice_Level2"/>
      <w:bookmarkStart w:id="41" w:name="_Toc28571_WPSOffice_Level2"/>
      <w:bookmarkStart w:id="42" w:name="_Toc20572_WPSOffice_Level2"/>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Style w:val="21"/>
          <w:rFonts w:hint="eastAsia" w:ascii="Times New Roman" w:hAnsi="Times New Roman" w:cs="Times New Roman"/>
          <w:szCs w:val="22"/>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21"/>
          <w:rFonts w:hint="eastAsia" w:ascii="Times New Roman" w:hAnsi="Times New Roman" w:cs="Times New Roman"/>
          <w:szCs w:val="22"/>
        </w:rPr>
        <w:t>ahjyxs@163.com</w:t>
      </w:r>
      <w:r>
        <w:rPr>
          <w:rStyle w:val="21"/>
          <w:rFonts w:hint="eastAsia" w:ascii="Times New Roman" w:hAnsi="Times New Roman" w:cs="Times New Roman"/>
          <w:szCs w:val="22"/>
        </w:rPr>
        <w:fldChar w:fldCharType="end"/>
      </w:r>
    </w:p>
    <w:p>
      <w:pPr>
        <w:rPr>
          <w:rStyle w:val="21"/>
          <w:rFonts w:hint="eastAsia" w:ascii="Times New Roman" w:hAnsi="Times New Roman" w:cs="Times New Roman"/>
          <w:szCs w:val="22"/>
        </w:rPr>
      </w:pPr>
    </w:p>
    <w:p>
      <w:pPr>
        <w:pStyle w:val="4"/>
        <w:numPr>
          <w:ilvl w:val="0"/>
          <w:numId w:val="0"/>
        </w:numPr>
        <w:ind w:left="417" w:leftChars="0"/>
      </w:pPr>
    </w:p>
    <w:p>
      <w:pPr>
        <w:pStyle w:val="23"/>
        <w:ind w:right="315"/>
        <w:jc w:val="right"/>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4</w:t>
      </w:r>
      <w:r>
        <w:rPr>
          <w:rFonts w:ascii="Times New Roman" w:hAnsi="Times New Roman"/>
          <w:color w:val="auto"/>
          <w:sz w:val="21"/>
          <w:szCs w:val="22"/>
        </w:rPr>
        <w:t xml:space="preserve">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4</w:t>
      </w:r>
      <w:r>
        <w:rPr>
          <w:rFonts w:ascii="Times New Roman" w:hAnsi="Times New Roman"/>
          <w:color w:val="auto"/>
          <w:sz w:val="21"/>
          <w:szCs w:val="22"/>
        </w:rPr>
        <w:t xml:space="preserve">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8</w:t>
      </w:r>
      <w:r>
        <w:rPr>
          <w:rFonts w:ascii="Times New Roman" w:hAnsi="Times New Roman"/>
          <w:color w:val="auto"/>
          <w:sz w:val="21"/>
          <w:szCs w:val="22"/>
        </w:rPr>
        <w:t xml:space="preserve"> </w:t>
      </w:r>
      <w:r>
        <w:rPr>
          <w:rFonts w:hint="default" w:ascii="Times New Roman" w:hAnsi="Times New Roman"/>
          <w:color w:val="auto"/>
          <w:sz w:val="21"/>
          <w:szCs w:val="22"/>
        </w:rPr>
        <w:t>日</w:t>
      </w:r>
    </w:p>
    <w:p>
      <w:pPr>
        <w:spacing w:line="360" w:lineRule="auto"/>
        <w:rPr>
          <w:b/>
          <w:sz w:val="36"/>
          <w:szCs w:val="36"/>
        </w:rPr>
      </w:pPr>
    </w:p>
    <w:p>
      <w:pPr>
        <w:widowControl/>
        <w:jc w:val="left"/>
        <w:rPr>
          <w:b/>
          <w:sz w:val="36"/>
          <w:szCs w:val="36"/>
        </w:rPr>
      </w:pPr>
      <w:r>
        <w:rPr>
          <w:b/>
          <w:sz w:val="36"/>
          <w:szCs w:val="36"/>
        </w:rPr>
        <w:br w:type="page"/>
      </w:r>
    </w:p>
    <w:p>
      <w:pPr>
        <w:spacing w:line="360" w:lineRule="auto"/>
        <w:jc w:val="center"/>
        <w:rPr>
          <w:b/>
          <w:sz w:val="36"/>
          <w:szCs w:val="36"/>
        </w:rPr>
      </w:pPr>
      <w:r>
        <w:rPr>
          <w:rFonts w:hint="eastAsia"/>
          <w:b/>
          <w:sz w:val="36"/>
          <w:szCs w:val="36"/>
        </w:rPr>
        <w:t>响 应 报 名 表</w:t>
      </w:r>
    </w:p>
    <w:p>
      <w:pPr>
        <w:pStyle w:val="6"/>
      </w:pPr>
    </w:p>
    <w:p>
      <w:pPr>
        <w:spacing w:line="360" w:lineRule="auto"/>
        <w:jc w:val="center"/>
        <w:rPr>
          <w:rFonts w:ascii="宋体" w:hAnsi="宋体" w:eastAsia="宋体" w:cs="宋体"/>
          <w:szCs w:val="21"/>
        </w:rPr>
      </w:pPr>
      <w:r>
        <w:rPr>
          <w:rFonts w:hint="eastAsia" w:ascii="宋体" w:hAnsi="宋体" w:eastAsia="宋体" w:cs="宋体"/>
          <w:szCs w:val="21"/>
        </w:rPr>
        <w:t>报名日期：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              评审时间：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bl>
      <w:tblPr>
        <w:tblStyle w:val="15"/>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项目名称</w:t>
            </w:r>
          </w:p>
        </w:tc>
        <w:tc>
          <w:tcPr>
            <w:tcW w:w="8259" w:type="dxa"/>
            <w:gridSpan w:val="3"/>
            <w:vAlign w:val="center"/>
          </w:tcPr>
          <w:p>
            <w:pPr>
              <w:snapToGrid w:val="0"/>
              <w:spacing w:line="38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供应商名称</w:t>
            </w:r>
          </w:p>
          <w:p>
            <w:pPr>
              <w:spacing w:line="360" w:lineRule="exact"/>
              <w:jc w:val="center"/>
              <w:rPr>
                <w:rFonts w:ascii="宋体" w:hAnsi="宋体" w:eastAsia="宋体" w:cs="宋体"/>
                <w:bCs/>
                <w:szCs w:val="21"/>
              </w:rPr>
            </w:pPr>
            <w:r>
              <w:rPr>
                <w:rFonts w:hint="eastAsia" w:ascii="宋体" w:hAnsi="宋体" w:eastAsia="宋体" w:cs="宋体"/>
                <w:bCs/>
                <w:szCs w:val="21"/>
              </w:rPr>
              <w:t>（与公章一致）</w:t>
            </w:r>
          </w:p>
        </w:tc>
        <w:tc>
          <w:tcPr>
            <w:tcW w:w="8259" w:type="dxa"/>
            <w:gridSpan w:val="3"/>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供应商地址</w:t>
            </w:r>
          </w:p>
        </w:tc>
        <w:tc>
          <w:tcPr>
            <w:tcW w:w="8259" w:type="dxa"/>
            <w:gridSpan w:val="3"/>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法定代表人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联系电话</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p>
            <w:pPr>
              <w:spacing w:line="360" w:lineRule="exact"/>
              <w:jc w:val="center"/>
              <w:rPr>
                <w:rFonts w:ascii="宋体" w:hAnsi="宋体" w:eastAsia="宋体" w:cs="宋体"/>
                <w:bCs/>
                <w:szCs w:val="21"/>
              </w:rPr>
            </w:pPr>
            <w:r>
              <w:rPr>
                <w:rFonts w:hint="eastAsia" w:ascii="宋体" w:hAnsi="宋体" w:eastAsia="宋体" w:cs="宋体"/>
                <w:bCs/>
                <w:szCs w:val="21"/>
              </w:rPr>
              <w:t>手机号</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电子邮箱</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公司传真</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是否符合本项目的资质要求</w:t>
            </w:r>
          </w:p>
          <w:p>
            <w:pPr>
              <w:spacing w:line="360" w:lineRule="exact"/>
              <w:rPr>
                <w:rFonts w:ascii="宋体" w:hAnsi="宋体" w:eastAsia="宋体" w:cs="宋体"/>
                <w:bCs/>
                <w:szCs w:val="21"/>
              </w:rPr>
            </w:pPr>
            <w:r>
              <w:rPr>
                <w:rFonts w:hint="eastAsia" w:ascii="宋体" w:hAnsi="宋体" w:eastAsia="宋体" w:cs="宋体"/>
                <w:bCs/>
                <w:szCs w:val="21"/>
              </w:rPr>
              <w:t>注：填写“是”或“否”。</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供应商参与包组情况</w:t>
            </w:r>
          </w:p>
          <w:p>
            <w:pPr>
              <w:spacing w:line="360" w:lineRule="exact"/>
              <w:rPr>
                <w:rFonts w:ascii="宋体" w:hAnsi="宋体" w:eastAsia="宋体" w:cs="宋体"/>
                <w:bCs/>
                <w:szCs w:val="21"/>
              </w:rPr>
            </w:pPr>
            <w:r>
              <w:rPr>
                <w:rFonts w:hint="eastAsia" w:ascii="宋体" w:hAnsi="宋体" w:eastAsia="宋体" w:cs="宋体"/>
                <w:bCs/>
                <w:szCs w:val="21"/>
              </w:rPr>
              <w:t>注：根据招标文件包号填写。</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备注</w:t>
            </w:r>
          </w:p>
        </w:tc>
        <w:tc>
          <w:tcPr>
            <w:tcW w:w="8867" w:type="dxa"/>
            <w:gridSpan w:val="4"/>
            <w:vAlign w:val="center"/>
          </w:tcPr>
          <w:p>
            <w:pPr>
              <w:spacing w:line="360" w:lineRule="exact"/>
              <w:jc w:val="left"/>
              <w:rPr>
                <w:rFonts w:ascii="宋体" w:hAnsi="宋体" w:eastAsia="宋体" w:cs="宋体"/>
                <w:bCs/>
                <w:szCs w:val="21"/>
              </w:rPr>
            </w:pPr>
            <w:r>
              <w:rPr>
                <w:rFonts w:hint="eastAsia" w:ascii="宋体" w:hAnsi="宋体" w:eastAsia="宋体" w:cs="宋体"/>
                <w:bCs/>
                <w:szCs w:val="21"/>
              </w:rPr>
              <w:t>1、所有获取文件的供应商，若有意参投本项目，须同时提供以下资料并发送至邮箱</w:t>
            </w:r>
            <w:r>
              <w:fldChar w:fldCharType="begin"/>
            </w:r>
            <w:r>
              <w:instrText xml:space="preserve"> HYPERLINK "mailto:ahjyxs@163.com" </w:instrText>
            </w:r>
            <w:r>
              <w:fldChar w:fldCharType="separate"/>
            </w:r>
            <w:r>
              <w:rPr>
                <w:rStyle w:val="21"/>
                <w:rFonts w:hint="eastAsia" w:ascii="宋体" w:hAnsi="宋体" w:eastAsia="宋体" w:cs="宋体"/>
                <w:szCs w:val="21"/>
                <w:highlight w:val="green"/>
              </w:rPr>
              <w:t>ahjyxs@163.com</w:t>
            </w:r>
            <w:r>
              <w:rPr>
                <w:rStyle w:val="21"/>
                <w:rFonts w:hint="eastAsia" w:ascii="宋体" w:hAnsi="宋体" w:eastAsia="宋体" w:cs="宋体"/>
                <w:szCs w:val="21"/>
                <w:highlight w:val="green"/>
              </w:rPr>
              <w:fldChar w:fldCharType="end"/>
            </w:r>
            <w:r>
              <w:rPr>
                <w:rFonts w:hint="eastAsia" w:ascii="宋体" w:hAnsi="宋体" w:eastAsia="宋体" w:cs="宋体"/>
                <w:bCs/>
                <w:szCs w:val="21"/>
              </w:rPr>
              <w:t>：</w:t>
            </w:r>
          </w:p>
          <w:p>
            <w:pPr>
              <w:spacing w:line="360" w:lineRule="exact"/>
              <w:jc w:val="left"/>
              <w:rPr>
                <w:rFonts w:ascii="宋体" w:hAnsi="宋体" w:eastAsia="宋体" w:cs="宋体"/>
                <w:bCs/>
                <w:szCs w:val="21"/>
              </w:rPr>
            </w:pPr>
            <w:r>
              <w:rPr>
                <w:rFonts w:hint="eastAsia" w:ascii="宋体" w:hAnsi="宋体" w:eastAsia="宋体" w:cs="宋体"/>
                <w:bCs/>
                <w:szCs w:val="21"/>
              </w:rPr>
              <w:t>①已填写完整的《响应报名表》；</w:t>
            </w:r>
          </w:p>
          <w:p>
            <w:pPr>
              <w:spacing w:line="360" w:lineRule="exact"/>
              <w:jc w:val="left"/>
              <w:rPr>
                <w:rFonts w:ascii="宋体" w:hAnsi="宋体" w:eastAsia="宋体" w:cs="宋体"/>
                <w:bCs/>
                <w:szCs w:val="21"/>
              </w:rPr>
            </w:pPr>
            <w:r>
              <w:rPr>
                <w:rFonts w:hint="eastAsia" w:ascii="宋体" w:hAnsi="宋体" w:eastAsia="宋体" w:cs="宋体"/>
                <w:bCs/>
                <w:szCs w:val="21"/>
              </w:rPr>
              <w:t>②营业执照复印件并加盖公章。</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报名单位须与投标单位名称一致，否则报名无效。</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报名单位须在询比文件要求的报名截止时间前报名（以招标人收到邮件时间为准），否则报名无效。</w:t>
            </w:r>
          </w:p>
          <w:p>
            <w:pPr>
              <w:pStyle w:val="6"/>
              <w:rPr>
                <w:rFonts w:ascii="宋体" w:hAnsi="宋体" w:eastAsia="宋体" w:cs="宋体"/>
                <w:szCs w:val="21"/>
              </w:rPr>
            </w:pPr>
            <w:r>
              <w:rPr>
                <w:rFonts w:hint="eastAsia" w:ascii="宋体" w:hAnsi="宋体" w:eastAsia="宋体" w:cs="宋体"/>
                <w:bCs/>
                <w:szCs w:val="21"/>
                <w:highlight w:val="green"/>
              </w:rPr>
              <w:t>4、报名人在提交响应报名表后</w:t>
            </w:r>
            <w:r>
              <w:rPr>
                <w:rFonts w:hint="eastAsia" w:ascii="宋体" w:hAnsi="宋体" w:eastAsia="宋体" w:cs="宋体"/>
                <w:szCs w:val="21"/>
                <w:highlight w:val="green"/>
              </w:rPr>
              <w:t>响应文件递交的截止时间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Pr>
        <w:spacing w:line="560" w:lineRule="exact"/>
        <w:rPr>
          <w:rFonts w:ascii="宋体" w:hAnsi="宋体" w:eastAsia="宋体" w:cs="宋体"/>
          <w:sz w:val="24"/>
        </w:rPr>
      </w:pPr>
    </w:p>
    <w:p>
      <w:pPr>
        <w:pStyle w:val="23"/>
        <w:jc w:val="center"/>
        <w:rPr>
          <w:rFonts w:hint="default" w:ascii="Times New Roman" w:hAnsi="Times New Roman"/>
          <w:color w:val="auto"/>
          <w:sz w:val="21"/>
          <w:szCs w:val="22"/>
        </w:rPr>
      </w:pPr>
    </w:p>
    <w:p>
      <w:pPr>
        <w:pStyle w:val="23"/>
        <w:jc w:val="center"/>
        <w:rPr>
          <w:rFonts w:ascii="Times New Roman" w:hAnsi="Times New Roman"/>
          <w:color w:val="auto"/>
          <w:sz w:val="21"/>
          <w:szCs w:val="22"/>
        </w:rPr>
      </w:pPr>
      <w:r>
        <w:rPr>
          <w:rFonts w:ascii="Times New Roman" w:hAnsi="Times New Roman"/>
          <w:color w:val="auto"/>
          <w:sz w:val="21"/>
          <w:szCs w:val="22"/>
        </w:rPr>
        <w:t xml:space="preserve">                 </w:t>
      </w: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highlight w:val="none"/>
        </w:rPr>
      </w:pPr>
    </w:p>
    <w:p>
      <w:pPr>
        <w:widowControl/>
        <w:spacing w:line="300" w:lineRule="atLeast"/>
        <w:ind w:firstLine="480"/>
        <w:jc w:val="center"/>
        <w:rPr>
          <w:rFonts w:hint="eastAsia" w:ascii="宋体" w:hAnsi="宋体" w:eastAsia="宋体" w:cs="宋体"/>
          <w:b/>
          <w:bCs/>
          <w:color w:val="000000"/>
          <w:kern w:val="0"/>
          <w:sz w:val="24"/>
          <w:highlight w:val="none"/>
        </w:rPr>
      </w:pPr>
    </w:p>
    <w:p>
      <w:pPr>
        <w:widowControl/>
        <w:spacing w:line="300" w:lineRule="atLeast"/>
        <w:ind w:firstLine="480"/>
        <w:jc w:val="center"/>
        <w:rPr>
          <w:rFonts w:ascii="微软雅黑" w:hAnsi="微软雅黑" w:eastAsia="微软雅黑" w:cs="宋体"/>
          <w:color w:val="000000"/>
          <w:kern w:val="0"/>
          <w:sz w:val="24"/>
          <w:highlight w:val="none"/>
        </w:rPr>
      </w:pPr>
      <w:r>
        <w:rPr>
          <w:rFonts w:hint="eastAsia" w:ascii="宋体" w:hAnsi="宋体" w:eastAsia="宋体" w:cs="宋体"/>
          <w:b/>
          <w:bCs/>
          <w:color w:val="000000"/>
          <w:kern w:val="0"/>
          <w:sz w:val="24"/>
          <w:highlight w:val="none"/>
        </w:rPr>
        <w:t>投资参股的关联企业情况表（与响应报名表一并提交）</w:t>
      </w:r>
    </w:p>
    <w:tbl>
      <w:tblPr>
        <w:tblStyle w:val="15"/>
        <w:tblW w:w="10081" w:type="dxa"/>
        <w:jc w:val="center"/>
        <w:tblCellSpacing w:w="15" w:type="dxa"/>
        <w:tblLayout w:type="fixed"/>
        <w:tblCellMar>
          <w:top w:w="0" w:type="dxa"/>
          <w:left w:w="0" w:type="dxa"/>
          <w:bottom w:w="0" w:type="dxa"/>
          <w:right w:w="0" w:type="dxa"/>
        </w:tblCellMar>
      </w:tblPr>
      <w:tblGrid>
        <w:gridCol w:w="10081"/>
      </w:tblGrid>
      <w:tr>
        <w:trPr>
          <w:trHeight w:val="6925" w:hRule="atLeast"/>
          <w:tblCellSpacing w:w="15" w:type="dxa"/>
          <w:jc w:val="center"/>
        </w:trPr>
        <w:tc>
          <w:tcPr>
            <w:tcW w:w="100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p>
          <w:p>
            <w:pPr>
              <w:widowControl/>
              <w:spacing w:line="480" w:lineRule="atLeas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申请参加询比的企业应提供其投资参股的关联企业情况，包括以下内容：</w:t>
            </w:r>
          </w:p>
          <w:p>
            <w:pPr>
              <w:pStyle w:val="4"/>
              <w:numPr>
                <w:ilvl w:val="0"/>
                <w:numId w:val="0"/>
              </w:numPr>
              <w:ind w:left="417" w:leftChars="0"/>
              <w:rPr>
                <w:rFonts w:hint="eastAsia"/>
              </w:rPr>
            </w:pPr>
          </w:p>
          <w:p>
            <w:pPr>
              <w:pStyle w:val="38"/>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与本单位负责人为同一人的其他单位名单；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pStyle w:val="38"/>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对本单位存在控股、管理关系的其他单位名单；</w:t>
            </w:r>
          </w:p>
          <w:p>
            <w:pPr>
              <w:pStyle w:val="38"/>
              <w:rPr>
                <w:rFonts w:hint="eastAsia"/>
                <w:highlight w:val="none"/>
              </w:rPr>
            </w:pPr>
          </w:p>
          <w:p>
            <w:pPr>
              <w:rPr>
                <w:rFonts w:hint="eastAsia"/>
                <w:highlight w:val="none"/>
              </w:rPr>
            </w:pPr>
          </w:p>
          <w:p>
            <w:pPr>
              <w:pStyle w:val="38"/>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本单位对其他单位存在控股、管理关系的名单；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widowControl/>
              <w:spacing w:line="480" w:lineRule="atLeast"/>
              <w:ind w:firstLine="42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（单位盖章）</w:t>
            </w:r>
          </w:p>
        </w:tc>
      </w:tr>
    </w:tbl>
    <w:p>
      <w:pPr>
        <w:widowControl/>
        <w:ind w:firstLine="480"/>
        <w:jc w:val="left"/>
        <w:rPr>
          <w:rFonts w:hint="eastAsia" w:ascii="微软雅黑" w:hAnsi="微软雅黑" w:eastAsia="微软雅黑" w:cs="宋体"/>
          <w:color w:val="000000"/>
          <w:kern w:val="0"/>
          <w:sz w:val="24"/>
          <w:highlight w:val="none"/>
        </w:rPr>
      </w:pPr>
      <w:r>
        <w:rPr>
          <w:rFonts w:hint="eastAsia" w:ascii="宋体" w:hAnsi="宋体" w:eastAsia="宋体" w:cs="宋体"/>
          <w:color w:val="000000"/>
          <w:kern w:val="0"/>
          <w:sz w:val="24"/>
          <w:highlight w:val="none"/>
        </w:rPr>
        <w:t>注：供应商应如实填报此表，否则因其影响询比公正性的，其相关响应文件均无效。</w:t>
      </w:r>
    </w:p>
    <w:p>
      <w:pPr>
        <w:pStyle w:val="23"/>
        <w:jc w:val="center"/>
        <w:rPr>
          <w:rFonts w:ascii="Times New Roman" w:hAnsi="Times New Roman"/>
          <w:color w:val="auto"/>
          <w:sz w:val="21"/>
          <w:szCs w:val="22"/>
          <w:highlight w:val="none"/>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center"/>
        <w:rPr>
          <w:rFonts w:ascii="Times New Roman" w:hAnsi="Times New Roman"/>
          <w:color w:val="auto"/>
          <w:sz w:val="21"/>
          <w:szCs w:val="22"/>
        </w:rPr>
      </w:pPr>
    </w:p>
    <w:p>
      <w:pPr>
        <w:pStyle w:val="23"/>
        <w:jc w:val="both"/>
        <w:rPr>
          <w:rFonts w:ascii="Times New Roman" w:hAnsi="Times New Roman"/>
          <w:color w:val="auto"/>
          <w:sz w:val="21"/>
          <w:szCs w:val="22"/>
        </w:rPr>
      </w:pPr>
    </w:p>
    <w:p>
      <w:pPr>
        <w:pStyle w:val="23"/>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需胶装密封</w:t>
      </w:r>
      <w:r>
        <w:rPr>
          <w:rFonts w:ascii="Times New Roman" w:hAnsi="Times New Roman" w:eastAsia="宋体" w:cs="Times New Roman"/>
          <w:highlight w:val="green"/>
        </w:rPr>
        <w:t>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代表、</w:t>
      </w:r>
      <w:r>
        <w:rPr>
          <w:rFonts w:hint="eastAsia" w:ascii="Times New Roman" w:hAnsi="Times New Roman" w:cs="Times New Roman"/>
        </w:rPr>
        <w:t>采购</w:t>
      </w:r>
      <w:r>
        <w:rPr>
          <w:rFonts w:ascii="Times New Roman" w:hAnsi="Times New Roman" w:cs="Times New Roman"/>
        </w:rPr>
        <w:t>人代表、记录人等有关人员在</w:t>
      </w:r>
      <w:r>
        <w:rPr>
          <w:rFonts w:hint="eastAsia" w:ascii="Times New Roman" w:hAnsi="Times New Roman" w:cs="Times New Roman"/>
        </w:rPr>
        <w:t>文件签到表签名</w:t>
      </w:r>
      <w:r>
        <w:rPr>
          <w:rFonts w:ascii="Times New Roman" w:hAnsi="Times New Roman" w:cs="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bookmarkStart w:id="169" w:name="_GoBack"/>
      <w:r>
        <w:rPr>
          <w:rFonts w:ascii="Times New Roman" w:hAnsi="Times New Roman" w:cs="Times New Roman"/>
        </w:rPr>
        <w:t>30</w:t>
      </w:r>
      <w:bookmarkEnd w:id="169"/>
      <w:r>
        <w:rPr>
          <w:rFonts w:ascii="Times New Roman" w:hAnsi="Times New Roman" w:cs="Times New Roman"/>
        </w:rPr>
        <w:t>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1420125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14201263"/>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3"/>
        <w:jc w:val="right"/>
        <w:rPr>
          <w:rFonts w:hint="default" w:ascii="Times New Roman" w:hAnsi="Times New Roman"/>
          <w:color w:val="auto"/>
          <w:sz w:val="21"/>
          <w:szCs w:val="22"/>
        </w:rPr>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5</w:t>
            </w:r>
          </w:p>
        </w:tc>
        <w:tc>
          <w:tcPr>
            <w:tcW w:w="4668" w:type="dxa"/>
            <w:vAlign w:val="center"/>
          </w:tcPr>
          <w:p>
            <w:pPr>
              <w:spacing w:line="440" w:lineRule="exact"/>
              <w:jc w:val="left"/>
              <w:rPr>
                <w:rFonts w:ascii="Times New Roman" w:hAnsi="Times New Roman"/>
              </w:rPr>
            </w:pPr>
            <w:r>
              <w:rPr>
                <w:rFonts w:hint="eastAsia" w:ascii="Times New Roman" w:hAnsi="Times New Roman"/>
              </w:rPr>
              <w:t>设备技术性能指标中完全满足供货要求</w:t>
            </w:r>
            <w:r>
              <w:rPr>
                <w:rFonts w:hint="eastAsia" w:ascii="Times New Roman" w:hAnsi="Times New Roman"/>
                <w:lang w:val="en-US" w:eastAsia="zh-CN"/>
              </w:rPr>
              <w:t>的</w:t>
            </w:r>
            <w:r>
              <w:rPr>
                <w:rFonts w:hint="eastAsia" w:ascii="Times New Roman" w:hAnsi="Times New Roman"/>
              </w:rPr>
              <w:t>，得满分2</w:t>
            </w:r>
            <w:r>
              <w:rPr>
                <w:rFonts w:hint="eastAsia" w:ascii="Times New Roman" w:hAnsi="Times New Roman"/>
                <w:lang w:val="en-US" w:eastAsia="zh-CN"/>
              </w:rPr>
              <w:t>5</w:t>
            </w:r>
            <w:r>
              <w:rPr>
                <w:rFonts w:hint="eastAsia" w:ascii="Times New Roman" w:hAnsi="Times New Roman"/>
              </w:rPr>
              <w:t>分，</w:t>
            </w:r>
            <w:r>
              <w:rPr>
                <w:rFonts w:hint="eastAsia"/>
                <w:color w:val="auto"/>
                <w:spacing w:val="-2"/>
                <w:szCs w:val="21"/>
                <w:highlight w:val="none"/>
                <w:shd w:val="clear" w:color="auto" w:fill="auto"/>
              </w:rPr>
              <w:t>加“★”项的，每有一项不满足的或不响应的扣</w:t>
            </w:r>
            <w:r>
              <w:rPr>
                <w:rFonts w:hint="eastAsia" w:ascii="Times New Roman" w:eastAsia="宋体"/>
                <w:color w:val="auto"/>
                <w:spacing w:val="-2"/>
                <w:szCs w:val="21"/>
                <w:highlight w:val="none"/>
                <w:shd w:val="clear" w:color="auto" w:fill="auto"/>
                <w:lang w:val="en-US" w:eastAsia="zh-CN"/>
              </w:rPr>
              <w:t>5</w:t>
            </w:r>
            <w:r>
              <w:rPr>
                <w:rFonts w:hint="eastAsia"/>
                <w:color w:val="auto"/>
                <w:spacing w:val="-2"/>
                <w:szCs w:val="21"/>
                <w:highlight w:val="none"/>
                <w:shd w:val="clear" w:color="auto" w:fill="auto"/>
              </w:rPr>
              <w:t>分；未加“★”项的，每有一项不满足的或不响应的扣</w:t>
            </w:r>
            <w:r>
              <w:rPr>
                <w:rFonts w:hint="eastAsia" w:ascii="Times New Roman" w:eastAsia="宋体"/>
                <w:color w:val="auto"/>
                <w:spacing w:val="-2"/>
                <w:szCs w:val="21"/>
                <w:highlight w:val="none"/>
                <w:shd w:val="clear" w:color="auto" w:fill="auto"/>
                <w:lang w:val="en-US" w:eastAsia="zh-CN"/>
              </w:rPr>
              <w:t>2</w:t>
            </w:r>
            <w:r>
              <w:rPr>
                <w:rFonts w:hint="eastAsia"/>
                <w:color w:val="auto"/>
                <w:spacing w:val="-2"/>
                <w:szCs w:val="21"/>
                <w:highlight w:val="none"/>
                <w:shd w:val="clear" w:color="auto" w:fill="auto"/>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pStyle w:val="6"/>
            </w:pPr>
            <w:r>
              <w:rPr>
                <w:rFonts w:hint="eastAsia"/>
              </w:rPr>
              <w:t>满足资格业绩要求，得基本分1分。</w:t>
            </w:r>
          </w:p>
          <w:p>
            <w:pPr>
              <w:pStyle w:val="6"/>
            </w:pPr>
            <w:r>
              <w:rPr>
                <w:rFonts w:hint="eastAsia"/>
              </w:rPr>
              <w:t>除资格业绩外，投标人自202</w:t>
            </w:r>
            <w:r>
              <w:rPr>
                <w:rFonts w:hint="eastAsia"/>
                <w:lang w:val="en-US" w:eastAsia="zh-CN"/>
              </w:rPr>
              <w:t>1</w:t>
            </w:r>
            <w:r>
              <w:rPr>
                <w:rFonts w:hint="eastAsia"/>
              </w:rPr>
              <w:t>年1月1日（以合同签订时间为准）至今，</w:t>
            </w:r>
            <w:r>
              <w:rPr>
                <w:rFonts w:hint="eastAsia"/>
                <w:lang w:val="en-US" w:eastAsia="zh-CN"/>
              </w:rPr>
              <w:t>单个合同金额不少于100万元的皮卡车的</w:t>
            </w:r>
            <w:r>
              <w:rPr>
                <w:rFonts w:hint="eastAsia"/>
              </w:rPr>
              <w:t>供货业绩，加</w:t>
            </w:r>
            <w:r>
              <w:rPr>
                <w:rFonts w:hint="eastAsia"/>
                <w:lang w:val="en-US" w:eastAsia="zh-CN"/>
              </w:rPr>
              <w:t>1</w:t>
            </w:r>
            <w:r>
              <w:rPr>
                <w:rFonts w:hint="eastAsia"/>
              </w:rPr>
              <w:t>分，最多加3分。</w:t>
            </w:r>
          </w:p>
          <w:p>
            <w:pPr>
              <w:pStyle w:val="6"/>
            </w:pPr>
            <w:r>
              <w:rPr>
                <w:rFonts w:hint="eastAsia"/>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p>
          <w:p>
            <w:pPr>
              <w:pStyle w:val="6"/>
              <w:rPr>
                <w:rFonts w:hint="eastAsia" w:ascii="Times New Roman" w:hAnsi="Times New Roman" w:eastAsia="宋体" w:cs="Times New Roman"/>
                <w:color w:val="auto"/>
                <w:sz w:val="24"/>
                <w:szCs w:val="24"/>
                <w:highlight w:val="none"/>
                <w:shd w:val="clear" w:color="auto" w:fill="auto"/>
                <w:lang w:val="en-US" w:eastAsia="zh-CN"/>
              </w:rPr>
            </w:pPr>
          </w:p>
          <w:p>
            <w:pPr>
              <w:pStyle w:val="6"/>
              <w:rPr>
                <w:rFonts w:ascii="Times New Roman" w:hAnsi="Times New Roman" w:eastAsia="宋体" w:cs="Times New Roman"/>
                <w:szCs w:val="21"/>
              </w:rPr>
            </w:pPr>
            <w:r>
              <w:rPr>
                <w:rFonts w:hint="eastAsia" w:ascii="Times New Roman" w:hAnsi="Times New Roman" w:eastAsia="宋体" w:cs="Times New Roman"/>
                <w:color w:val="auto"/>
                <w:sz w:val="24"/>
                <w:szCs w:val="24"/>
                <w:highlight w:val="none"/>
                <w:shd w:val="clear" w:color="auto" w:fill="auto"/>
                <w:lang w:val="en-US" w:eastAsia="zh-CN"/>
              </w:rPr>
              <w:t>质保期</w:t>
            </w:r>
          </w:p>
          <w:p>
            <w:pPr>
              <w:pStyle w:val="6"/>
              <w:rPr>
                <w:rFonts w:ascii="Times New Roman" w:hAnsi="Times New Roman" w:eastAsia="宋体" w:cs="Times New Roman"/>
                <w:szCs w:val="21"/>
              </w:rPr>
            </w:pP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p>
          <w:p>
            <w:pPr>
              <w:pStyle w:val="6"/>
              <w:rPr>
                <w:rFonts w:hint="default"/>
                <w:lang w:val="en-US" w:eastAsia="zh-CN"/>
              </w:rPr>
            </w:pPr>
            <w:r>
              <w:rPr>
                <w:rFonts w:hint="eastAsia"/>
                <w:lang w:val="en-US" w:eastAsia="zh-CN"/>
              </w:rPr>
              <w:t>2</w:t>
            </w:r>
          </w:p>
        </w:tc>
        <w:tc>
          <w:tcPr>
            <w:tcW w:w="4668" w:type="dxa"/>
            <w:vAlign w:val="center"/>
          </w:tcPr>
          <w:p>
            <w:pPr>
              <w:adjustRightInd w:val="0"/>
              <w:snapToGrid w:val="0"/>
              <w:spacing w:line="360" w:lineRule="auto"/>
              <w:jc w:val="left"/>
              <w:rPr>
                <w:rFonts w:hint="eastAsia" w:ascii="Times New Roman" w:hAnsi="Times New Roman" w:eastAsia="宋体" w:cs="宋体"/>
                <w:color w:val="auto"/>
                <w:kern w:val="0"/>
                <w:sz w:val="24"/>
                <w:szCs w:val="21"/>
                <w:highlight w:val="none"/>
                <w:shd w:val="clear" w:color="auto" w:fill="auto"/>
                <w:lang w:eastAsia="zh-CN"/>
              </w:rPr>
            </w:pPr>
            <w:r>
              <w:rPr>
                <w:rFonts w:hint="eastAsia" w:ascii="Times New Roman" w:hAnsi="Times New Roman" w:eastAsia="宋体" w:cs="宋体"/>
                <w:color w:val="auto"/>
                <w:kern w:val="0"/>
                <w:sz w:val="24"/>
                <w:szCs w:val="21"/>
                <w:highlight w:val="none"/>
                <w:shd w:val="clear" w:color="auto" w:fill="auto"/>
              </w:rPr>
              <w:t>在满足招标文件免费质保期要求的基础之上，</w:t>
            </w:r>
            <w:r>
              <w:rPr>
                <w:rFonts w:hint="eastAsia" w:ascii="Times New Roman" w:hAnsi="Times New Roman" w:eastAsia="宋体" w:cs="宋体"/>
                <w:color w:val="auto"/>
                <w:kern w:val="0"/>
                <w:sz w:val="24"/>
                <w:szCs w:val="21"/>
                <w:highlight w:val="none"/>
                <w:shd w:val="clear" w:color="auto" w:fill="auto"/>
                <w:lang w:val="en-US" w:eastAsia="zh-CN"/>
              </w:rPr>
              <w:t>投标人承诺的质保期</w:t>
            </w:r>
            <w:r>
              <w:rPr>
                <w:rFonts w:hint="eastAsia" w:ascii="Times New Roman" w:hAnsi="Times New Roman" w:eastAsia="宋体" w:cs="宋体"/>
                <w:color w:val="auto"/>
                <w:kern w:val="0"/>
                <w:sz w:val="24"/>
                <w:szCs w:val="21"/>
                <w:highlight w:val="none"/>
                <w:shd w:val="clear" w:color="auto" w:fill="auto"/>
              </w:rPr>
              <w:t>每</w:t>
            </w:r>
            <w:r>
              <w:rPr>
                <w:rFonts w:hint="eastAsia" w:ascii="Times New Roman" w:hAnsi="Times New Roman" w:eastAsia="宋体" w:cs="宋体"/>
                <w:color w:val="auto"/>
                <w:kern w:val="0"/>
                <w:sz w:val="24"/>
                <w:szCs w:val="21"/>
                <w:highlight w:val="none"/>
                <w:shd w:val="clear" w:color="auto" w:fill="auto"/>
                <w:lang w:val="en-US" w:eastAsia="zh-CN"/>
              </w:rPr>
              <w:t>延长1</w:t>
            </w:r>
            <w:r>
              <w:rPr>
                <w:rFonts w:hint="eastAsia" w:ascii="Times New Roman" w:hAnsi="Times New Roman" w:eastAsia="宋体" w:cs="宋体"/>
                <w:color w:val="auto"/>
                <w:kern w:val="0"/>
                <w:sz w:val="24"/>
                <w:szCs w:val="21"/>
                <w:highlight w:val="none"/>
                <w:shd w:val="clear" w:color="auto" w:fill="auto"/>
              </w:rPr>
              <w:t>年（或公里数每</w:t>
            </w:r>
            <w:r>
              <w:rPr>
                <w:rFonts w:hint="eastAsia" w:ascii="Times New Roman" w:hAnsi="Times New Roman" w:eastAsia="宋体" w:cs="宋体"/>
                <w:color w:val="auto"/>
                <w:kern w:val="0"/>
                <w:sz w:val="24"/>
                <w:szCs w:val="21"/>
                <w:highlight w:val="none"/>
                <w:shd w:val="clear" w:color="auto" w:fill="auto"/>
                <w:lang w:val="en-US" w:eastAsia="zh-CN"/>
              </w:rPr>
              <w:t>延长</w:t>
            </w:r>
            <w:r>
              <w:rPr>
                <w:rFonts w:hint="eastAsia" w:ascii="Times New Roman" w:hAnsi="Times New Roman" w:eastAsia="宋体" w:cs="宋体"/>
                <w:color w:val="auto"/>
                <w:kern w:val="0"/>
                <w:sz w:val="24"/>
                <w:szCs w:val="21"/>
                <w:highlight w:val="none"/>
                <w:shd w:val="clear" w:color="auto" w:fill="auto"/>
              </w:rPr>
              <w:t>50000公里）得</w:t>
            </w:r>
            <w:r>
              <w:rPr>
                <w:rFonts w:hint="eastAsia" w:ascii="Times New Roman" w:hAnsi="Times New Roman" w:eastAsia="宋体" w:cs="宋体"/>
                <w:color w:val="auto"/>
                <w:kern w:val="0"/>
                <w:sz w:val="24"/>
                <w:szCs w:val="21"/>
                <w:highlight w:val="none"/>
                <w:shd w:val="clear" w:color="auto" w:fill="auto"/>
                <w:lang w:val="en-US" w:eastAsia="zh-CN"/>
              </w:rPr>
              <w:t>1</w:t>
            </w:r>
            <w:r>
              <w:rPr>
                <w:rFonts w:hint="eastAsia" w:ascii="Times New Roman" w:hAnsi="Times New Roman" w:eastAsia="宋体" w:cs="宋体"/>
                <w:color w:val="auto"/>
                <w:kern w:val="0"/>
                <w:sz w:val="24"/>
                <w:szCs w:val="21"/>
                <w:highlight w:val="none"/>
                <w:shd w:val="clear" w:color="auto" w:fill="auto"/>
              </w:rPr>
              <w:t>分</w:t>
            </w:r>
            <w:r>
              <w:rPr>
                <w:rFonts w:hint="eastAsia" w:ascii="Times New Roman" w:hAnsi="Times New Roman" w:eastAsia="宋体" w:cs="宋体"/>
                <w:color w:val="auto"/>
                <w:kern w:val="0"/>
                <w:sz w:val="24"/>
                <w:szCs w:val="21"/>
                <w:highlight w:val="none"/>
                <w:shd w:val="clear" w:color="auto" w:fill="auto"/>
                <w:lang w:eastAsia="zh-CN"/>
              </w:rPr>
              <w:t>，</w:t>
            </w:r>
            <w:r>
              <w:rPr>
                <w:rFonts w:hint="eastAsia" w:ascii="Times New Roman" w:hAnsi="Times New Roman" w:eastAsia="宋体" w:cs="宋体"/>
                <w:color w:val="auto"/>
                <w:kern w:val="0"/>
                <w:sz w:val="24"/>
                <w:szCs w:val="21"/>
                <w:highlight w:val="none"/>
                <w:shd w:val="clear" w:color="auto" w:fill="auto"/>
              </w:rPr>
              <w:t>最多</w:t>
            </w:r>
            <w:r>
              <w:rPr>
                <w:rFonts w:hint="eastAsia" w:ascii="Times New Roman" w:hAnsi="Times New Roman" w:eastAsia="宋体" w:cs="宋体"/>
                <w:color w:val="auto"/>
                <w:kern w:val="0"/>
                <w:sz w:val="24"/>
                <w:szCs w:val="21"/>
                <w:highlight w:val="none"/>
                <w:shd w:val="clear" w:color="auto" w:fill="auto"/>
                <w:lang w:val="en-US" w:eastAsia="zh-CN"/>
              </w:rPr>
              <w:t>得2分</w:t>
            </w:r>
          </w:p>
          <w:p>
            <w:pPr>
              <w:adjustRightInd w:val="0"/>
              <w:snapToGrid w:val="0"/>
              <w:spacing w:line="276" w:lineRule="auto"/>
            </w:pPr>
            <w:r>
              <w:rPr>
                <w:rFonts w:hint="eastAsia" w:ascii="Times New Roman" w:hAnsi="Times New Roman" w:eastAsia="宋体" w:cs="宋体"/>
                <w:b/>
                <w:bCs/>
                <w:color w:val="auto"/>
                <w:kern w:val="0"/>
                <w:sz w:val="24"/>
                <w:szCs w:val="21"/>
                <w:highlight w:val="none"/>
                <w:shd w:val="clear" w:color="auto" w:fill="auto"/>
              </w:rPr>
              <w:t>注：投标人须在投标文件对免费质保期进行承诺。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交货日期</w:t>
            </w:r>
            <w:r>
              <w:rPr>
                <w:rFonts w:ascii="Times New Roman" w:hAnsi="Times New Roman" w:eastAsia="宋体" w:cs="Times New Roman"/>
                <w:szCs w:val="21"/>
              </w:rPr>
              <w:t>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分，一般0≤F≤</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6"/>
              <w:rPr>
                <w:rFonts w:ascii="Times New Roman" w:hAnsi="Times New Roman" w:eastAsia="宋体" w:cs="Times New Roman"/>
                <w:szCs w:val="21"/>
              </w:rPr>
            </w:pPr>
            <w:r>
              <w:rPr>
                <w:rFonts w:hint="eastAsia" w:ascii="Times New Roman" w:hAnsi="Times New Roman" w:eastAsia="宋体" w:cs="Times New Roman"/>
                <w:szCs w:val="21"/>
                <w:highlight w:val="gree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jc w:val="center"/>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840" w:firstLineChars="1200"/>
        <w:jc w:val="both"/>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6"/>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789"/>
        <w:gridCol w:w="1636"/>
        <w:gridCol w:w="150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789"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636"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50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70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5"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704"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w:t>
      </w:r>
    </w:p>
    <w:p>
      <w:pPr>
        <w:pStyle w:val="6"/>
      </w:pPr>
    </w:p>
    <w:p>
      <w:pPr>
        <w:pStyle w:val="7"/>
        <w:rPr>
          <w:rFonts w:asciiTheme="minorEastAsia" w:hAnsiTheme="minorEastAsia" w:cstheme="minorEastAsia"/>
          <w:szCs w:val="21"/>
        </w:rPr>
      </w:pPr>
      <w:r>
        <w:rPr>
          <w:rFonts w:hint="eastAsia" w:asciiTheme="minorEastAsia" w:hAnsiTheme="minorEastAsia" w:cstheme="minorEastAsia"/>
          <w:szCs w:val="21"/>
        </w:rPr>
        <w:t>6.2 收款账户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开户行：</w:t>
      </w:r>
    </w:p>
    <w:p>
      <w:pPr>
        <w:pStyle w:val="8"/>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pStyle w:val="4"/>
        <w:numPr>
          <w:ilvl w:val="0"/>
          <w:numId w:val="0"/>
        </w:numPr>
        <w:ind w:left="417" w:leftChars="0"/>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5"/>
        <w:tblpPr w:leftFromText="180" w:rightFromText="180" w:vertAnchor="text" w:horzAnchor="page" w:tblpXSpec="center" w:tblpY="902"/>
        <w:tblOverlap w:val="never"/>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0"/>
        <w:gridCol w:w="8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宋体" w:hAnsi="宋体" w:eastAsia="宋体" w:cs="宋体"/>
                <w:color w:val="000000"/>
                <w:szCs w:val="21"/>
              </w:rPr>
            </w:pPr>
            <w:r>
              <w:rPr>
                <w:rFonts w:hint="eastAsia" w:ascii="宋体" w:hAnsi="宋体" w:eastAsia="宋体" w:cs="宋体"/>
                <w:color w:val="000000"/>
                <w:szCs w:val="21"/>
              </w:rPr>
              <w:t>项目</w:t>
            </w:r>
          </w:p>
        </w:tc>
        <w:tc>
          <w:tcPr>
            <w:tcW w:w="8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宋体" w:hAnsi="宋体" w:eastAsia="宋体" w:cs="宋体"/>
                <w:color w:val="000000"/>
                <w:szCs w:val="21"/>
              </w:rPr>
            </w:pPr>
            <w:r>
              <w:rPr>
                <w:rFonts w:hint="eastAsia" w:ascii="宋体" w:hAnsi="宋体" w:eastAsia="宋体" w:cs="宋体"/>
                <w:color w:val="000000"/>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top w:val="single" w:color="000000" w:sz="4" w:space="0"/>
              <w:left w:val="single" w:color="000000" w:sz="4" w:space="0"/>
              <w:right w:val="single" w:color="000000" w:sz="4" w:space="0"/>
            </w:tcBorders>
            <w:vAlign w:val="center"/>
          </w:tcPr>
          <w:p>
            <w:pPr>
              <w:widowControl/>
              <w:jc w:val="center"/>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基本要求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★1.车身颜色：工程黄</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2.车型类别：皮卡</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3.数量：13辆</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4.座位数：5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widowControl/>
              <w:jc w:val="center"/>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★发动机</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1.排放标准：国六B（柴油版）</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2.发动机马力：≥140马力</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3.最大输出功率：≥104KW</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4.发动机最大扭矩(N·m/rpm)≥350</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5.发动机排量（L）≥2.0</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6.气缸数：4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ascii="宋体" w:hAnsi="Courier New" w:eastAsia="宋体" w:cs="宋体"/>
                <w:b/>
                <w:bCs/>
                <w:color w:val="000000"/>
                <w:kern w:val="2"/>
                <w:sz w:val="21"/>
                <w:szCs w:val="21"/>
                <w:lang w:val="en-US" w:eastAsia="zh-CN" w:bidi="ar-SA"/>
              </w:rPr>
            </w:pPr>
            <w:r>
              <w:rPr>
                <w:rFonts w:hint="eastAsia" w:ascii="宋体" w:hAnsi="Courier New" w:eastAsia="宋体" w:cs="宋体"/>
                <w:b/>
                <w:bCs/>
                <w:color w:val="000000"/>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变速箱</w:t>
            </w:r>
          </w:p>
        </w:tc>
        <w:tc>
          <w:tcPr>
            <w:tcW w:w="8304"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采用8AT自动变速器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hint="eastAsia" w:ascii="宋体" w:hAnsi="宋体" w:eastAsia="宋体" w:cs="宋体"/>
                <w:color w:val="000000"/>
                <w:kern w:val="0"/>
                <w:sz w:val="21"/>
                <w:szCs w:val="21"/>
                <w:lang w:val="en-US" w:eastAsia="zh-CN" w:bidi="ar-SA"/>
              </w:rPr>
            </w:pPr>
            <w:r>
              <w:rPr>
                <w:rFonts w:hint="eastAsia" w:ascii="宋体" w:hAnsi="Courier New" w:eastAsia="宋体" w:cs="宋体"/>
                <w:b/>
                <w:bCs/>
                <w:color w:val="000000"/>
                <w:kern w:val="2"/>
                <w:sz w:val="21"/>
                <w:szCs w:val="21"/>
                <w:lang w:val="en-US" w:eastAsia="zh-CN" w:bidi="ar-SA"/>
              </w:rPr>
              <w:t>★</w:t>
            </w:r>
            <w:r>
              <w:rPr>
                <w:rFonts w:hint="eastAsia" w:ascii="宋体" w:hAnsi="宋体" w:eastAsia="宋体" w:cs="宋体"/>
                <w:color w:val="000000"/>
                <w:kern w:val="0"/>
                <w:sz w:val="21"/>
                <w:szCs w:val="21"/>
                <w:lang w:val="en-US" w:eastAsia="zh-CN" w:bidi="ar-SA"/>
              </w:rPr>
              <w:t>底盘</w:t>
            </w:r>
          </w:p>
        </w:tc>
        <w:tc>
          <w:tcPr>
            <w:tcW w:w="8304"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1.驱动形式：分时四驱系统+4L档+4H档；</w:t>
            </w:r>
          </w:p>
          <w:p>
            <w:pPr>
              <w:widowControl/>
              <w:textAlignment w:val="baseline"/>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2.车身尺寸（mm）：长5280-5413，宽1883-1905，高1882-1835；</w:t>
            </w:r>
          </w:p>
          <w:p>
            <w:pPr>
              <w:widowControl/>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3.货厢尺寸（mm）：长1475-1520，宽1475-1520，高500-540。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ascii="宋体" w:hAnsi="Courier New" w:eastAsia="宋体" w:cs="宋体"/>
                <w:b/>
                <w:bCs/>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w:t>
            </w:r>
            <w:r>
              <w:rPr>
                <w:rFonts w:hint="eastAsia" w:ascii="Times New Roman" w:hAnsi="Times New Roman" w:eastAsia="宋体" w:cs="Times New Roman"/>
                <w:kern w:val="2"/>
                <w:sz w:val="21"/>
                <w:szCs w:val="21"/>
                <w:lang w:val="en-US" w:eastAsia="zh-CN" w:bidi="ar-SA"/>
              </w:rPr>
              <w:t>轮胎</w:t>
            </w:r>
          </w:p>
        </w:tc>
        <w:tc>
          <w:tcPr>
            <w:tcW w:w="8304"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≥245/70R17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hint="default" w:ascii="宋体" w:hAnsi="Courier New" w:eastAsia="宋体" w:cs="宋体"/>
                <w:b/>
                <w:bCs/>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灯光</w:t>
            </w:r>
          </w:p>
        </w:tc>
        <w:tc>
          <w:tcPr>
            <w:tcW w:w="8304" w:type="dxa"/>
            <w:tcBorders>
              <w:top w:val="single" w:color="000000" w:sz="4" w:space="0"/>
              <w:left w:val="single" w:color="000000" w:sz="4" w:space="0"/>
              <w:bottom w:val="single" w:color="000000" w:sz="4" w:space="0"/>
              <w:right w:val="single" w:color="000000" w:sz="4" w:space="0"/>
            </w:tcBorders>
            <w:vAlign w:val="center"/>
          </w:tcPr>
          <w:p>
            <w:pPr>
              <w:jc w:val="left"/>
              <w:textAlignment w:val="baseline"/>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卤素大灯+LED日行灯+ LED后视镜转向灯+高位刹车灯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ascii="宋体" w:hAnsi="Courier New" w:eastAsia="宋体" w:cs="宋体"/>
                <w:b/>
                <w:bCs/>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安全配置</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extAlignment w:val="baseline"/>
              <w:rPr>
                <w:rFonts w:ascii="Times New Roman" w:hAnsi="Times New Roman" w:eastAsia="宋体" w:cs="Times New Roman"/>
                <w:bCs/>
                <w:sz w:val="21"/>
                <w:szCs w:val="21"/>
              </w:rPr>
            </w:pPr>
            <w:r>
              <w:rPr>
                <w:rFonts w:hint="eastAsia" w:ascii="Calibri" w:hAnsi="Calibri" w:eastAsia="宋体" w:cs="Times New Roman"/>
                <w:lang w:eastAsia="zh-CN"/>
              </w:rPr>
              <w:t>四轮碟刹、ABS+EBD、安全气囊、胎压监测、ESP车身稳定系统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270" w:type="dxa"/>
            <w:tcBorders>
              <w:left w:val="single" w:color="000000" w:sz="4" w:space="0"/>
              <w:right w:val="single" w:color="000000" w:sz="4" w:space="0"/>
            </w:tcBorders>
            <w:vAlign w:val="center"/>
          </w:tcPr>
          <w:p>
            <w:pPr>
              <w:tabs>
                <w:tab w:val="left" w:pos="6255"/>
              </w:tabs>
              <w:jc w:val="center"/>
              <w:textAlignment w:val="baseline"/>
              <w:rPr>
                <w:rFonts w:ascii="宋体" w:hAnsi="Courier New" w:eastAsia="宋体" w:cs="宋体"/>
                <w:b/>
                <w:bCs/>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其他配置</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textAlignment w:val="baseline"/>
              <w:rPr>
                <w:rFonts w:hint="eastAsia" w:ascii="Calibri" w:hAnsi="Calibri" w:eastAsia="宋体" w:cs="Times New Roman"/>
                <w:lang w:eastAsia="zh-CN"/>
              </w:rPr>
            </w:pPr>
            <w:r>
              <w:rPr>
                <w:rFonts w:hint="eastAsia" w:ascii="宋体" w:hAnsi="宋体" w:eastAsia="宋体" w:cs="宋体"/>
                <w:color w:val="000000"/>
                <w:kern w:val="0"/>
                <w:sz w:val="21"/>
                <w:szCs w:val="21"/>
                <w:lang w:val="en-US" w:eastAsia="zh-CN"/>
              </w:rPr>
              <w:t>1.</w:t>
            </w:r>
            <w:r>
              <w:rPr>
                <w:rFonts w:hint="eastAsia" w:ascii="Calibri" w:hAnsi="Calibri" w:eastAsia="宋体" w:cs="Times New Roman"/>
                <w:lang w:eastAsia="zh-CN"/>
              </w:rPr>
              <w:t>倒车雷达、倒车影像、电动车窗、电动后视镜、定速巡航、前盖气动撑杆、</w:t>
            </w:r>
            <w:r>
              <w:rPr>
                <w:rFonts w:hint="eastAsia" w:ascii="Calibri" w:hAnsi="Calibri" w:eastAsia="宋体" w:cs="Times New Roman"/>
                <w:lang w:val="en-US" w:eastAsia="zh-CN"/>
              </w:rPr>
              <w:t>彩显</w:t>
            </w:r>
            <w:r>
              <w:rPr>
                <w:rFonts w:hint="eastAsia" w:ascii="Calibri" w:hAnsi="Calibri" w:eastAsia="宋体" w:cs="Times New Roman"/>
                <w:lang w:eastAsia="zh-CN"/>
              </w:rPr>
              <w:t>中控屏</w:t>
            </w:r>
            <w:r>
              <w:rPr>
                <w:rFonts w:hint="eastAsia" w:ascii="宋体" w:hAnsi="宋体" w:eastAsia="宋体" w:cs="宋体"/>
                <w:color w:val="000000"/>
                <w:kern w:val="0"/>
                <w:sz w:val="21"/>
                <w:szCs w:val="21"/>
                <w:highlight w:val="none"/>
                <w:lang w:val="en-US" w:eastAsia="zh-CN"/>
              </w:rPr>
              <w:t>；</w:t>
            </w:r>
          </w:p>
          <w:p>
            <w:pPr>
              <w:widowControl/>
              <w:textAlignment w:val="baseline"/>
              <w:rPr>
                <w:rFonts w:ascii="Times New Roman" w:hAnsi="Times New Roman" w:eastAsia="宋体" w:cs="Times New Roman"/>
                <w:bCs/>
                <w:sz w:val="21"/>
                <w:szCs w:val="21"/>
              </w:rPr>
            </w:pPr>
            <w:r>
              <w:rPr>
                <w:rFonts w:hint="eastAsia" w:ascii="宋体" w:hAnsi="宋体" w:eastAsia="宋体" w:cs="宋体"/>
                <w:color w:val="000000"/>
                <w:kern w:val="0"/>
                <w:sz w:val="21"/>
                <w:szCs w:val="21"/>
              </w:rPr>
              <w:t>★</w:t>
            </w:r>
            <w:r>
              <w:rPr>
                <w:rFonts w:hint="eastAsia" w:ascii="Calibri" w:hAnsi="Calibri" w:eastAsia="宋体" w:cs="Times New Roman"/>
                <w:lang w:val="en-US" w:eastAsia="zh-CN"/>
              </w:rPr>
              <w:t>2.</w:t>
            </w:r>
            <w:r>
              <w:rPr>
                <w:rFonts w:hint="eastAsia" w:ascii="Calibri" w:hAnsi="Calibri" w:eastAsia="宋体" w:cs="Times New Roman"/>
                <w:lang w:eastAsia="zh-CN"/>
              </w:rPr>
              <w:t>无钥匙进入一键启动、多功能方向盘带换挡拨</w:t>
            </w:r>
            <w:r>
              <w:rPr>
                <w:rFonts w:hint="eastAsia" w:ascii="Calibri" w:hAnsi="Calibri" w:eastAsia="宋体" w:cs="Times New Roman"/>
                <w:highlight w:val="none"/>
                <w:lang w:eastAsia="zh-CN"/>
              </w:rPr>
              <w:t>片</w:t>
            </w:r>
            <w:r>
              <w:rPr>
                <w:rFonts w:hint="eastAsia" w:ascii="宋体" w:hAnsi="宋体" w:eastAsia="宋体" w:cs="宋体"/>
                <w:color w:val="000000"/>
                <w:kern w:val="0"/>
                <w:sz w:val="21"/>
                <w:szCs w:val="21"/>
                <w:highlight w:val="none"/>
                <w:lang w:val="en-US" w:eastAsia="zh-CN"/>
              </w:rPr>
              <w:t>、尿素再生SCR系统，可以实现一键再生。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270" w:type="dxa"/>
            <w:tcBorders>
              <w:left w:val="single" w:color="000000" w:sz="4" w:space="0"/>
              <w:right w:val="single" w:color="000000" w:sz="4" w:space="0"/>
            </w:tcBorders>
            <w:vAlign w:val="center"/>
          </w:tcPr>
          <w:p>
            <w:pPr>
              <w:ind w:left="108"/>
              <w:jc w:val="both"/>
              <w:textAlignment w:val="baseline"/>
              <w:rPr>
                <w:rFonts w:ascii="Times New Roman" w:hAnsi="Times New Roman" w:eastAsia="宋体" w:cs="Times New Roman"/>
                <w:kern w:val="2"/>
                <w:sz w:val="21"/>
                <w:szCs w:val="21"/>
                <w:lang w:val="en-US" w:eastAsia="zh-CN" w:bidi="zh-CN"/>
              </w:rPr>
            </w:pPr>
            <w:r>
              <w:rPr>
                <w:rFonts w:hint="eastAsia" w:ascii="Calibri" w:hAnsi="Calibri" w:eastAsia="宋体" w:cs="宋体"/>
                <w:color w:val="000000"/>
                <w:kern w:val="2"/>
                <w:sz w:val="21"/>
                <w:szCs w:val="21"/>
                <w:lang w:val="en-US" w:eastAsia="zh-CN" w:bidi="ar-SA"/>
              </w:rPr>
              <w:t>其他要求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jc w:val="left"/>
              <w:textAlignment w:val="baseline"/>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车辆上牌工作由供货商负责办理，相关费用由供货商承担。</w:t>
            </w:r>
          </w:p>
          <w:p>
            <w:pPr>
              <w:numPr>
                <w:ilvl w:val="0"/>
                <w:numId w:val="0"/>
              </w:numPr>
              <w:jc w:val="both"/>
              <w:textAlignment w:val="baseline"/>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2.全车脚垫、座椅垫、玻璃贴膜。</w:t>
            </w:r>
          </w:p>
          <w:p>
            <w:pPr>
              <w:jc w:val="both"/>
              <w:textAlignment w:val="baseline"/>
              <w:rPr>
                <w:rFonts w:hint="default" w:ascii="宋体" w:hAnsi="宋体" w:eastAsia="宋体" w:cs="宋体"/>
                <w:kern w:val="0"/>
                <w:sz w:val="21"/>
                <w:szCs w:val="21"/>
                <w:lang w:val="en-US" w:eastAsia="zh-CN" w:bidi="zh-CN"/>
              </w:rPr>
            </w:pPr>
            <w:r>
              <w:rPr>
                <w:rFonts w:hint="eastAsia" w:ascii="宋体" w:hAnsi="宋体" w:eastAsia="宋体" w:cs="宋体"/>
                <w:kern w:val="2"/>
                <w:sz w:val="21"/>
                <w:szCs w:val="21"/>
                <w:lang w:val="en-US" w:eastAsia="zh-CN" w:bidi="zh-CN"/>
              </w:rPr>
              <w:t>3.车辆</w:t>
            </w:r>
            <w:r>
              <w:rPr>
                <w:rFonts w:hint="eastAsia" w:ascii="宋体" w:hAnsi="宋体" w:eastAsia="宋体" w:cs="宋体"/>
                <w:kern w:val="2"/>
                <w:sz w:val="21"/>
                <w:szCs w:val="21"/>
                <w:lang w:val="zh-CN" w:eastAsia="zh-CN" w:bidi="zh-CN"/>
              </w:rPr>
              <w:t>购置税和</w:t>
            </w:r>
            <w:r>
              <w:rPr>
                <w:rFonts w:hint="eastAsia" w:ascii="宋体" w:hAnsi="宋体" w:eastAsia="宋体" w:cs="宋体"/>
                <w:kern w:val="2"/>
                <w:sz w:val="21"/>
                <w:szCs w:val="21"/>
                <w:lang w:val="en-US" w:eastAsia="zh-CN" w:bidi="zh-CN"/>
              </w:rPr>
              <w:t>车辆</w:t>
            </w:r>
            <w:r>
              <w:rPr>
                <w:rFonts w:hint="eastAsia" w:ascii="宋体" w:hAnsi="宋体" w:eastAsia="宋体" w:cs="宋体"/>
                <w:kern w:val="2"/>
                <w:sz w:val="21"/>
                <w:szCs w:val="21"/>
                <w:lang w:val="zh-CN" w:eastAsia="zh-CN" w:bidi="zh-CN"/>
              </w:rPr>
              <w:t>保险</w:t>
            </w:r>
            <w:r>
              <w:rPr>
                <w:rFonts w:hint="eastAsia" w:ascii="宋体" w:hAnsi="宋体" w:eastAsia="宋体" w:cs="宋体"/>
                <w:kern w:val="2"/>
                <w:sz w:val="21"/>
                <w:szCs w:val="21"/>
                <w:lang w:val="en-US" w:eastAsia="zh-CN" w:bidi="zh-CN"/>
              </w:rPr>
              <w:t>费</w:t>
            </w:r>
            <w:r>
              <w:rPr>
                <w:rFonts w:hint="eastAsia" w:ascii="宋体" w:hAnsi="宋体" w:eastAsia="宋体" w:cs="宋体"/>
                <w:kern w:val="0"/>
                <w:sz w:val="21"/>
                <w:szCs w:val="21"/>
                <w:lang w:val="zh-CN" w:eastAsia="zh-CN" w:bidi="zh-CN"/>
              </w:rPr>
              <w:t>由采购人</w:t>
            </w:r>
            <w:r>
              <w:rPr>
                <w:rFonts w:hint="eastAsia" w:ascii="宋体" w:hAnsi="宋体" w:eastAsia="宋体" w:cs="宋体"/>
                <w:kern w:val="0"/>
                <w:sz w:val="21"/>
                <w:szCs w:val="21"/>
                <w:lang w:val="en-US" w:eastAsia="zh-CN" w:bidi="zh-CN"/>
              </w:rPr>
              <w:t>自行购买，供货商配合</w:t>
            </w:r>
            <w:r>
              <w:rPr>
                <w:rFonts w:hint="eastAsia" w:ascii="宋体" w:hAnsi="宋体" w:eastAsia="宋体" w:cs="宋体"/>
                <w:kern w:val="0"/>
                <w:sz w:val="21"/>
                <w:szCs w:val="21"/>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center"/>
              <w:textAlignment w:val="auto"/>
              <w:rPr>
                <w:rFonts w:ascii="宋体" w:hAnsi="宋体" w:eastAsia="宋体" w:cs="宋体"/>
                <w:color w:val="000000"/>
                <w:kern w:val="2"/>
                <w:sz w:val="21"/>
                <w:szCs w:val="21"/>
                <w:lang w:val="zh-CN" w:eastAsia="zh-CN" w:bidi="zh-CN"/>
              </w:rPr>
            </w:pPr>
            <w:r>
              <w:rPr>
                <w:rFonts w:hint="eastAsia" w:ascii="宋体" w:hAnsi="宋体" w:eastAsia="宋体" w:cs="宋体"/>
                <w:kern w:val="2"/>
                <w:sz w:val="21"/>
                <w:szCs w:val="21"/>
                <w:lang w:val="en-US" w:eastAsia="zh-CN" w:bidi="ar-SA"/>
              </w:rPr>
              <w:t>质保及服务要求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0" w:lineRule="atLeast"/>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1.质保期服务：按照国家三包标准执行</w:t>
            </w:r>
          </w:p>
          <w:p>
            <w:pPr>
              <w:spacing w:before="0" w:beforeAutospacing="0" w:after="0" w:afterAutospacing="0" w:line="0" w:lineRule="atLeast"/>
              <w:jc w:val="left"/>
              <w:textAlignment w:val="auto"/>
              <w:rPr>
                <w:rFonts w:ascii="宋体" w:hAnsi="宋体" w:eastAsia="宋体" w:cs="宋体"/>
                <w:color w:val="000000"/>
                <w:kern w:val="0"/>
                <w:sz w:val="21"/>
                <w:szCs w:val="21"/>
                <w:lang w:val="en-US" w:eastAsia="zh-CN" w:bidi="ar-SA"/>
              </w:rPr>
            </w:pPr>
            <w:r>
              <w:rPr>
                <w:rFonts w:hint="eastAsia" w:ascii="宋体" w:hAnsi="宋体" w:eastAsia="宋体" w:cs="宋体"/>
                <w:kern w:val="2"/>
                <w:sz w:val="21"/>
                <w:szCs w:val="21"/>
                <w:lang w:val="en-US" w:eastAsia="zh-CN" w:bidi="ar-SA"/>
              </w:rPr>
              <w:t>2.整车质保期限：</w:t>
            </w:r>
            <w:r>
              <w:rPr>
                <w:rFonts w:hint="eastAsia" w:ascii="Times New Roman" w:hAnsi="Times New Roman" w:eastAsia="宋体" w:cs="Times New Roman"/>
                <w:kern w:val="0"/>
                <w:sz w:val="21"/>
                <w:szCs w:val="21"/>
                <w:lang w:val="en-US" w:eastAsia="zh-CN" w:bidi="ar-SA"/>
              </w:rPr>
              <w:t>≥</w:t>
            </w:r>
            <w:r>
              <w:rPr>
                <w:rFonts w:hint="eastAsia" w:ascii="宋体" w:hAnsi="宋体" w:eastAsia="宋体" w:cs="宋体"/>
                <w:kern w:val="2"/>
                <w:sz w:val="21"/>
                <w:szCs w:val="21"/>
                <w:lang w:val="en-US" w:eastAsia="zh-CN" w:bidi="ar-SA"/>
              </w:rPr>
              <w:t>3年或6万公里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both"/>
              <w:textAlignment w:val="auto"/>
              <w:rPr>
                <w:rFonts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ar-SA"/>
              </w:rPr>
              <w:t>报价要求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0" w:lineRule="atLeast"/>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报价包括了为实施和完成本项目所需的设计费、制造费、材料费、利润、税费、运输费、验收、技术服务、安装调试、备品备件、工具及上牌费等达到使用条件及质保期维护维修的一切费用。</w:t>
            </w:r>
            <w:r>
              <w:rPr>
                <w:rFonts w:hint="eastAsia" w:ascii="宋体" w:hAnsi="宋体" w:eastAsia="宋体" w:cs="宋体"/>
                <w:kern w:val="0"/>
                <w:sz w:val="21"/>
                <w:szCs w:val="21"/>
                <w:lang w:val="en-US" w:eastAsia="zh-CN" w:bidi="ar-SA"/>
              </w:rPr>
              <w:t>车辆购置税和车辆保险由采购人</w:t>
            </w:r>
            <w:r>
              <w:rPr>
                <w:rFonts w:hint="eastAsia" w:ascii="Calibri" w:hAnsi="Calibri" w:eastAsia="宋体" w:cs="宋体"/>
                <w:kern w:val="0"/>
                <w:sz w:val="21"/>
                <w:szCs w:val="21"/>
                <w:lang w:val="en-US" w:eastAsia="zh-CN" w:bidi="ar-SA"/>
              </w:rPr>
              <w:t>自行购买</w:t>
            </w:r>
            <w:r>
              <w:rPr>
                <w:rFonts w:hint="eastAsia" w:ascii="宋体" w:hAnsi="宋体" w:eastAsia="宋体" w:cs="宋体"/>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center"/>
              <w:textAlignment w:val="auto"/>
              <w:rPr>
                <w:rFonts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ar-SA"/>
              </w:rPr>
              <w:t>付款条件及方式</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1.验收合格、完成上牌、交货后并收到全额增值税发票后，采购人在</w:t>
            </w:r>
            <w:r>
              <w:rPr>
                <w:rFonts w:hint="eastAsia" w:ascii="宋体" w:hAnsi="宋体" w:eastAsia="宋体" w:cs="宋体"/>
                <w:kern w:val="0"/>
                <w:szCs w:val="21"/>
                <w:lang w:val="en-US" w:eastAsia="zh-CN"/>
              </w:rPr>
              <w:t>15</w:t>
            </w:r>
            <w:r>
              <w:rPr>
                <w:rFonts w:hint="eastAsia" w:ascii="宋体" w:hAnsi="宋体" w:eastAsia="宋体" w:cs="宋体"/>
                <w:kern w:val="0"/>
                <w:szCs w:val="21"/>
              </w:rPr>
              <w:t>个工作日内一次性支付合同全部价格。</w:t>
            </w:r>
          </w:p>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2.付款方式：</w:t>
            </w:r>
            <w:r>
              <w:rPr>
                <w:rFonts w:hint="eastAsia" w:ascii="宋体" w:hAnsi="宋体" w:eastAsia="宋体" w:cs="宋体"/>
                <w:kern w:val="0"/>
                <w:szCs w:val="21"/>
                <w:lang w:val="en-US" w:eastAsia="zh-CN"/>
              </w:rPr>
              <w:t>公对公</w:t>
            </w:r>
            <w:r>
              <w:rPr>
                <w:rFonts w:hint="eastAsia" w:ascii="宋体" w:hAnsi="宋体" w:eastAsia="宋体" w:cs="宋体"/>
                <w:kern w:val="0"/>
                <w:szCs w:val="21"/>
              </w:rPr>
              <w:t>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center"/>
              <w:textAlignment w:val="auto"/>
              <w:rPr>
                <w:rFonts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ar-SA"/>
              </w:rPr>
              <w:t>交货时间及地点</w:t>
            </w:r>
          </w:p>
        </w:tc>
        <w:tc>
          <w:tcPr>
            <w:tcW w:w="830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0" w:lineRule="atLeast"/>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2"/>
                <w:sz w:val="21"/>
                <w:szCs w:val="21"/>
                <w:lang w:val="en-US" w:eastAsia="zh-CN" w:bidi="ar-SA"/>
              </w:rPr>
              <w:t>交货期为合同签订后15日内完成。</w:t>
            </w:r>
          </w:p>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2.交货地点根据采购人要求指定地点交货（安徽省内）。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val="0"/>
              <w:ind w:left="108"/>
              <w:jc w:val="both"/>
              <w:textAlignment w:val="auto"/>
              <w:rPr>
                <w:rFonts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ar-SA"/>
              </w:rPr>
              <w:t>验收要求</w:t>
            </w:r>
          </w:p>
        </w:tc>
        <w:tc>
          <w:tcPr>
            <w:tcW w:w="83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1.供应商应提供产品质量合格证书、使用说明书、维修保养手册、行驶证、一次性证书、配件及工具等。</w:t>
            </w:r>
          </w:p>
          <w:p>
            <w:pPr>
              <w:widowControl/>
              <w:adjustRightInd w:val="0"/>
              <w:snapToGrid w:val="0"/>
              <w:jc w:val="left"/>
              <w:textAlignment w:val="baseline"/>
              <w:rPr>
                <w:rFonts w:ascii="宋体" w:hAnsi="宋体" w:eastAsia="宋体" w:cs="宋体"/>
                <w:kern w:val="0"/>
                <w:szCs w:val="21"/>
              </w:rPr>
            </w:pPr>
            <w:r>
              <w:rPr>
                <w:rFonts w:hint="eastAsia" w:ascii="宋体" w:hAnsi="宋体" w:eastAsia="宋体" w:cs="宋体"/>
                <w:kern w:val="0"/>
                <w:szCs w:val="21"/>
              </w:rPr>
              <w:t>2.供应商必须严格按照技术参数及合同文件约定的要求供货，否则采购人有权拒收。</w:t>
            </w:r>
          </w:p>
        </w:tc>
      </w:tr>
    </w:tbl>
    <w:p/>
    <w:p>
      <w:pPr>
        <w:rPr>
          <w:rFonts w:ascii="Times New Roman" w:hAnsi="Times New Roman" w:eastAsia="宋体" w:cs="Times New Roman"/>
          <w:highlight w:val="green"/>
        </w:rPr>
      </w:pPr>
    </w:p>
    <w:p>
      <w:pPr>
        <w:pStyle w:val="6"/>
        <w:rPr>
          <w:rFonts w:ascii="宋体" w:hAnsi="宋体" w:eastAsia="宋体" w:cs="宋体"/>
          <w:highlight w:val="green"/>
        </w:rPr>
      </w:pPr>
      <w:r>
        <w:rPr>
          <w:rFonts w:hint="eastAsia" w:ascii="宋体" w:hAnsi="宋体" w:eastAsia="宋体" w:cs="宋体"/>
          <w:highlight w:val="green"/>
        </w:rPr>
        <w:t>采购人后期有权要求响应人提供所投产品印证资料原件进行审核，如虚假响应，按废标处理。</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1.基本要求</w:t>
      </w:r>
      <w:bookmarkStart w:id="79" w:name="_Toc3125"/>
      <w:bookmarkStart w:id="80" w:name="_Toc27869"/>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 机械设计合理，制造工艺先进，安全装置齐全可靠。</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1.2 操作灵便，可维护性强。</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1.3 标准配置包括保证车辆设备正常工作所需的附件、工具和随机备件，并有装箱单。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1.4.随机配有车辆设备使用保养说明书、发动机保养说明书和零部件图册。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1.5所供车辆的漆面必须是原厂漆面、应清洁光亮；不得有脱漆、色差、划痕和瘪窝。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1.6车辆内部的座椅及其他内饰件应完整清洁．不得有划伤、污点，使用时应方便灵活。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1.7车辆内、外部的灯光应齐全、有效。</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1.12车辆交付为整车，含出厂标准配置和厂家选装配置（若买方要求且出厂不含）及特殊要求配置（若买方要求且厂家没有时可另购加装），所交付车辆制造日期必须为202</w:t>
      </w:r>
      <w:r>
        <w:rPr>
          <w:rFonts w:hint="eastAsia" w:ascii="宋体" w:hAnsi="宋体" w:eastAsia="宋体" w:cs="宋体"/>
          <w:bCs/>
          <w:szCs w:val="21"/>
          <w:lang w:val="en-US" w:eastAsia="zh-CN"/>
        </w:rPr>
        <w:t>4</w:t>
      </w:r>
      <w:r>
        <w:rPr>
          <w:rFonts w:hint="eastAsia" w:ascii="宋体" w:hAnsi="宋体" w:eastAsia="宋体" w:cs="宋体"/>
          <w:bCs/>
          <w:szCs w:val="21"/>
        </w:rPr>
        <w:t>年1月1日以后。</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2.主要技术参数与要求</w:t>
      </w:r>
      <w:bookmarkEnd w:id="79"/>
      <w:bookmarkEnd w:id="80"/>
      <w:bookmarkStart w:id="81" w:name="_Toc25299"/>
      <w:bookmarkStart w:id="82" w:name="_Toc28261"/>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2.1 参见的内容，需对其中所列各项指标和要求逐项明确响应。</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2.2车底盘</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2．2．1在改装中，对底盘的主要结构不得进行伤害性改动，整车的动力性、安全性、经济性、操纵性能及环保性能等主要技术指标在同比条件下不得低于原底盘的相应指标。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2.3其他说明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2.3.1车辆配全套保养、维修专用工具，该项费用计入总报价中；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2.3.2配备随机及满足车辆正常使用需要的备品、备件，该项费用计入投标总报价中；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2.3．3除正常的灯光照明系统外尚须配带后照灯工作装置、闪烁警示灯等，该项费用计入投标总报价中；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2.3.4提供发动机额定状态下燃油消耗率。</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3.技术服务范围及验收标准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1、车辆规格性能均应符合或优于本标书的要求且为“零公里”新车，交货时每辆车须带≥50升燃油。</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2、厂家提供使用说明书及维修手册1套。</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3、厂家出示检验报告及合格证明。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4、外观上灯光和仪表应灵敏、完整、清晰、准确，整机涂漆光泽均匀、无油漆脱落锈蚀、碰伤，附具齐全完整。</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5、各部件性能可靠，无渗漏，无异响，转动灵活，制动良好。</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6、验收期限：交货后一周内。</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4.培训要求基本服务要求</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4.1讲解车辆安全操作规范、安全操作程序、用途、结构及维护和保养方法；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3" w:name="_Toc2123"/>
      <w:bookmarkStart w:id="84" w:name="_Toc29210"/>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0" w:firstLineChars="200"/>
        <w:rPr>
          <w:rFonts w:ascii="宋体" w:hAnsi="宋体" w:eastAsia="宋体" w:cs="宋体"/>
          <w:bCs/>
          <w:szCs w:val="21"/>
        </w:rPr>
      </w:pP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3"/>
      <w:bookmarkEnd w:id="84"/>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宋体" w:hAnsi="宋体" w:eastAsia="宋体" w:cs="宋体"/>
          <w:szCs w:val="21"/>
        </w:rPr>
      </w:pPr>
      <w:r>
        <w:rPr>
          <w:rFonts w:hint="eastAsia" w:ascii="宋体" w:hAnsi="宋体" w:eastAsia="宋体" w:cs="宋体"/>
          <w:bCs/>
          <w:szCs w:val="21"/>
        </w:rPr>
        <w:t>5.6售后服务：完善售后服务计划，每年不少于两次质量回访，提供维护保养巡检报告。给予终身技术指导。</w:t>
      </w:r>
    </w:p>
    <w:p>
      <w:pPr>
        <w:pStyle w:val="12"/>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5145_WPSOffice_Level1"/>
      <w:bookmarkStart w:id="87" w:name="_Toc1914_WPSOffice_Level1"/>
      <w:bookmarkStart w:id="88" w:name="_Toc17394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23368_WPSOffice_Level1"/>
      <w:bookmarkStart w:id="98" w:name="_Toc11424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31927_WPSOffice_Level1"/>
      <w:bookmarkStart w:id="104" w:name="_Toc212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4728_WPSOffice_Level1"/>
      <w:bookmarkStart w:id="106" w:name="_Toc25965_WPSOffice_Level1"/>
      <w:bookmarkStart w:id="107" w:name="_Toc23356_WPSOffice_Level1"/>
      <w:bookmarkStart w:id="108"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23744_WPSOffice_Level1"/>
      <w:bookmarkStart w:id="111" w:name="_Toc10608_WPSOffice_Level1"/>
      <w:bookmarkStart w:id="112"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19601_WPSOffice_Level1"/>
      <w:bookmarkStart w:id="114" w:name="_Toc1578_WPSOffice_Level1"/>
      <w:bookmarkStart w:id="115" w:name="_Toc23751_WPSOffice_Level1"/>
      <w:bookmarkStart w:id="116" w:name="_Toc9006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0273_WPSOffice_Level1"/>
      <w:bookmarkStart w:id="125" w:name="_Toc27403_WPSOffice_Level1"/>
      <w:bookmarkStart w:id="126" w:name="_Toc32648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32152_WPSOffice_Level1"/>
      <w:bookmarkStart w:id="128" w:name="_Toc23147_WPSOffice_Level1"/>
      <w:bookmarkStart w:id="129" w:name="_Toc30234_WPSOffice_Level1"/>
      <w:bookmarkStart w:id="130"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1687_WPSOffice_Level1"/>
      <w:bookmarkStart w:id="134" w:name="_Toc18312_WPSOffice_Level1"/>
      <w:bookmarkStart w:id="135" w:name="_Toc30031_WPSOffice_Level1"/>
      <w:bookmarkStart w:id="136" w:name="_Toc29399_WPSOffice_Level1"/>
      <w:bookmarkStart w:id="137" w:name="_Toc2765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6"/>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rPr>
          <w:rFonts w:ascii="Times New Roman" w:hAnsi="Times New Roman" w:cs="Times New Roman"/>
          <w:sz w:val="24"/>
        </w:rPr>
      </w:pPr>
    </w:p>
    <w:p>
      <w:pPr>
        <w:pStyle w:val="4"/>
        <w:numPr>
          <w:ilvl w:val="0"/>
          <w:numId w:val="0"/>
        </w:numPr>
        <w:ind w:left="417" w:leftChars="0"/>
      </w:pPr>
    </w:p>
    <w:p>
      <w:pPr>
        <w:rPr>
          <w:rFonts w:ascii="Times New Roman" w:hAnsi="Times New Roman" w:cs="Times New Roman"/>
          <w:sz w:val="24"/>
        </w:rPr>
      </w:pPr>
    </w:p>
    <w:p>
      <w:pPr>
        <w:pStyle w:val="4"/>
        <w:numPr>
          <w:ilvl w:val="0"/>
          <w:numId w:val="0"/>
        </w:numPr>
        <w:ind w:left="417" w:leftChars="0"/>
      </w:pPr>
    </w:p>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32350_WPSOffice_Level1"/>
      <w:bookmarkStart w:id="141" w:name="_Toc8695_WPSOffice_Level1"/>
      <w:bookmarkStart w:id="142" w:name="_Toc18668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6"/>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30_WPSOffice_Level1"/>
      <w:bookmarkStart w:id="149" w:name="_Toc32085_WPSOffice_Level1"/>
      <w:bookmarkStart w:id="150" w:name="_Toc24567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5"/>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15" w:type="dxa"/>
            <w:vAlign w:val="center"/>
          </w:tcPr>
          <w:p>
            <w:pPr>
              <w:spacing w:before="100" w:beforeAutospacing="1" w:after="100" w:afterAutospacing="1" w:line="360" w:lineRule="auto"/>
              <w:jc w:val="center"/>
              <w:rPr>
                <w:rFonts w:hint="eastAsia" w:ascii="仿宋" w:hAnsi="仿宋" w:eastAsia="仿宋" w:cs="宋体"/>
                <w:szCs w:val="21"/>
                <w:lang w:val="en-US" w:eastAsia="zh-CN"/>
              </w:rPr>
            </w:pPr>
            <w:r>
              <w:rPr>
                <w:rFonts w:hint="eastAsia" w:ascii="仿宋" w:hAnsi="仿宋" w:eastAsia="仿宋" w:cs="宋体"/>
                <w:szCs w:val="21"/>
                <w:lang w:val="en-US" w:eastAsia="zh-CN"/>
              </w:rPr>
              <w:t>2</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10436_WPSOffice_Level1"/>
      <w:bookmarkStart w:id="153" w:name="_Toc7738_WPSOffice_Level1"/>
      <w:bookmarkStart w:id="154" w:name="_Toc23545_WPSOffice_Level1"/>
      <w:bookmarkStart w:id="155" w:name="_Toc22815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5"/>
        <w:tblW w:w="9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3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9" w:name="_Toc1452_WPSOffice_Level1"/>
      <w:bookmarkStart w:id="160" w:name="_Toc5072_WPSOffice_Level1"/>
      <w:bookmarkStart w:id="161" w:name="_Toc3772_WPSOffice_Level1"/>
      <w:bookmarkStart w:id="162" w:name="_Toc19004_WPSOffice_Level1"/>
      <w:bookmarkStart w:id="163" w:name="_Toc1854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5"/>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609"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textAlignment w:val="bottom"/>
        <w:rPr>
          <w:rFonts w:ascii="Times New Roman" w:hAnsi="Times New Roman" w:eastAsia="黑体" w:cs="Times New Roman"/>
          <w:sz w:val="20"/>
          <w:szCs w:val="20"/>
        </w:rPr>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lang w:val="en-US" w:eastAsia="zh-CN"/>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r>
        <w:rPr>
          <w:rFonts w:hint="eastAsia" w:ascii="Times New Roman" w:hAnsi="Times New Roman" w:eastAsia="黑体" w:cs="Times New Roman"/>
          <w:szCs w:val="21"/>
          <w:u w:val="single"/>
          <w:lang w:val="en-US" w:eastAsia="zh-CN"/>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6"/>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893_WPSOffice_Level1"/>
      <w:bookmarkStart w:id="165" w:name="_Toc30712_WPSOffice_Level1"/>
      <w:bookmarkStart w:id="166" w:name="_Toc5403_WPSOffice_Level1"/>
      <w:bookmarkStart w:id="167" w:name="_Toc9267_WPSOffice_Level1"/>
      <w:bookmarkStart w:id="168"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6"/>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6"/>
        <w:jc w:val="right"/>
        <w:rPr>
          <w:u w:val="single"/>
        </w:rPr>
      </w:pPr>
      <w:r>
        <w:rPr>
          <w:rFonts w:ascii="Times New Roman" w:hAnsi="Times New Roman" w:cs="Times New Roman"/>
          <w:sz w:val="24"/>
        </w:rPr>
        <w:t>年月日</w:t>
      </w:r>
    </w:p>
    <w:p>
      <w:pPr>
        <w:pStyle w:val="6"/>
      </w:pPr>
    </w:p>
    <w:p>
      <w:pPr>
        <w:pStyle w:val="6"/>
        <w:spacing w:line="440" w:lineRule="exact"/>
        <w:rPr>
          <w:rFonts w:ascii="Times New Roman" w:hAnsi="Times New Roman" w:cs="Times New Roman"/>
          <w:sz w:val="24"/>
        </w:rPr>
      </w:pPr>
    </w:p>
    <w:p>
      <w:pPr>
        <w:spacing w:line="400" w:lineRule="atLeast"/>
      </w:pPr>
    </w:p>
    <w:p>
      <w:pPr>
        <w:pStyle w:val="6"/>
      </w:pPr>
    </w:p>
    <w:p>
      <w:pPr>
        <w:pStyle w:val="6"/>
      </w:pPr>
    </w:p>
    <w:p>
      <w:pPr>
        <w:pStyle w:val="6"/>
      </w:pPr>
    </w:p>
    <w:p>
      <w:pPr>
        <w:pStyle w:val="6"/>
      </w:pPr>
    </w:p>
    <w:p>
      <w:pPr>
        <w:pStyle w:val="6"/>
      </w:pPr>
    </w:p>
    <w:p>
      <w:pPr>
        <w:pStyle w:val="6"/>
      </w:pPr>
    </w:p>
    <w:p>
      <w:pPr>
        <w:pStyle w:val="6"/>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5"/>
        <w:tblpPr w:leftFromText="180" w:rightFromText="180" w:vertAnchor="text" w:horzAnchor="page" w:tblpXSpec="center" w:tblpY="835"/>
        <w:tblOverlap w:val="never"/>
        <w:tblW w:w="85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6"/>
        <w:jc w:val="center"/>
        <w:rPr>
          <w:rFonts w:ascii="黑体" w:hAnsi="黑体" w:eastAsia="黑体" w:cs="黑体"/>
          <w:sz w:val="28"/>
          <w:szCs w:val="28"/>
        </w:rPr>
      </w:pPr>
    </w:p>
    <w:p>
      <w:pPr>
        <w:pStyle w:val="39"/>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6"/>
        <w:jc w:val="center"/>
        <w:rPr>
          <w:rFonts w:ascii="黑体" w:hAnsi="黑体" w:eastAsia="黑体" w:cs="黑体"/>
          <w:sz w:val="28"/>
          <w:szCs w:val="28"/>
        </w:rPr>
      </w:pPr>
    </w:p>
    <w:p>
      <w:pPr>
        <w:pStyle w:val="6"/>
        <w:rPr>
          <w:rFonts w:ascii="黑体" w:hAnsi="黑体" w:eastAsia="黑体" w:cs="黑体"/>
          <w:sz w:val="28"/>
          <w:szCs w:val="28"/>
        </w:rPr>
      </w:pPr>
    </w:p>
    <w:p>
      <w:pPr>
        <w:pStyle w:val="6"/>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p>
    <w:p>
      <w:pPr>
        <w:pStyle w:val="6"/>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6"/>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5"/>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rPr>
          <w:rFonts w:ascii="黑体" w:hAnsi="黑体" w:eastAsia="黑体" w:cs="黑体"/>
          <w:sz w:val="28"/>
          <w:szCs w:val="28"/>
        </w:rPr>
      </w:pPr>
    </w:p>
    <w:p>
      <w:pPr>
        <w:pStyle w:val="6"/>
        <w:rPr>
          <w:rFonts w:ascii="黑体" w:hAnsi="黑体" w:eastAsia="黑体" w:cs="黑体"/>
          <w:sz w:val="28"/>
          <w:szCs w:val="28"/>
        </w:rPr>
      </w:pPr>
    </w:p>
    <w:p>
      <w:pPr>
        <w:pStyle w:val="6"/>
        <w:rPr>
          <w:rFonts w:ascii="黑体" w:hAnsi="黑体" w:eastAsia="黑体" w:cs="黑体"/>
          <w:sz w:val="28"/>
          <w:szCs w:val="28"/>
        </w:rPr>
      </w:pPr>
    </w:p>
    <w:p>
      <w:pPr>
        <w:pStyle w:val="6"/>
        <w:rPr>
          <w:rFonts w:ascii="黑体" w:hAnsi="黑体" w:eastAsia="黑体" w:cs="黑体"/>
          <w:sz w:val="28"/>
          <w:szCs w:val="28"/>
        </w:rPr>
      </w:pPr>
    </w:p>
    <w:p>
      <w:pPr>
        <w:pStyle w:val="6"/>
        <w:rPr>
          <w:rFonts w:ascii="黑体" w:hAnsi="黑体" w:eastAsia="黑体" w:cs="黑体"/>
          <w:sz w:val="28"/>
          <w:szCs w:val="28"/>
        </w:rPr>
      </w:pPr>
    </w:p>
    <w:p>
      <w:pPr>
        <w:pStyle w:val="6"/>
        <w:rPr>
          <w:rFonts w:ascii="宋体" w:hAnsi="宋体" w:eastAsia="宋体" w:cs="宋体"/>
          <w:sz w:val="28"/>
          <w:szCs w:val="28"/>
        </w:rPr>
      </w:pPr>
      <w:r>
        <w:rPr>
          <w:rFonts w:hint="eastAsia" w:ascii="宋体" w:hAnsi="宋体" w:eastAsia="宋体" w:cs="宋体"/>
          <w:sz w:val="28"/>
          <w:szCs w:val="28"/>
        </w:rPr>
        <w:t>备品备件清单</w:t>
      </w:r>
    </w:p>
    <w:p>
      <w:pPr>
        <w:pStyle w:val="6"/>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pStyle w:val="6"/>
        <w:rPr>
          <w:rFonts w:ascii="宋体" w:hAnsi="宋体" w:eastAsia="宋体" w:cs="宋体"/>
          <w:color w:val="000000"/>
          <w:szCs w:val="21"/>
        </w:rPr>
      </w:pPr>
    </w:p>
    <w:p>
      <w:pPr>
        <w:widowControl/>
        <w:jc w:val="left"/>
        <w:rPr>
          <w:rFonts w:ascii="宋体" w:hAnsi="宋体" w:eastAsia="宋体" w:cs="宋体"/>
          <w:sz w:val="28"/>
          <w:szCs w:val="28"/>
        </w:rPr>
      </w:pPr>
      <w:r>
        <w:rPr>
          <w:rFonts w:ascii="宋体" w:hAnsi="宋体" w:eastAsia="宋体" w:cs="宋体"/>
          <w:sz w:val="28"/>
          <w:szCs w:val="28"/>
        </w:rPr>
        <w:br w:type="page"/>
      </w:r>
    </w:p>
    <w:p>
      <w:pPr>
        <w:pStyle w:val="6"/>
        <w:rPr>
          <w:rFonts w:ascii="宋体" w:hAnsi="宋体" w:eastAsia="宋体" w:cs="宋体"/>
          <w:sz w:val="28"/>
          <w:szCs w:val="28"/>
        </w:rPr>
      </w:pPr>
      <w:r>
        <w:rPr>
          <w:rFonts w:hint="eastAsia" w:ascii="宋体" w:hAnsi="宋体" w:eastAsia="宋体" w:cs="宋体"/>
          <w:sz w:val="28"/>
          <w:szCs w:val="28"/>
        </w:rPr>
        <w:t>专用工具清单（如有）</w:t>
      </w:r>
    </w:p>
    <w:p>
      <w:pPr>
        <w:pStyle w:val="6"/>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1"/>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rPr>
          <w:rFonts w:ascii="宋体" w:hAnsi="宋体" w:eastAsia="宋体" w:cs="宋体"/>
          <w:color w:val="000000"/>
          <w:szCs w:val="21"/>
        </w:rPr>
      </w:pPr>
    </w:p>
    <w:sectPr>
      <w:footerReference r:id="rId3"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ind w:firstLine="360"/>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14</w:t>
                    </w:r>
                    <w:r>
                      <w:fldChar w:fldCharType="end"/>
                    </w:r>
                  </w:p>
                </w:txbxContent>
              </v:textbox>
            </v:shape>
          </w:pict>
        </mc:Fallback>
      </mc:AlternateConten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37626"/>
    <w:rsid w:val="00040E4A"/>
    <w:rsid w:val="00043805"/>
    <w:rsid w:val="00056650"/>
    <w:rsid w:val="00065CDA"/>
    <w:rsid w:val="00075165"/>
    <w:rsid w:val="000A2B98"/>
    <w:rsid w:val="000C168A"/>
    <w:rsid w:val="000D014C"/>
    <w:rsid w:val="000E14E9"/>
    <w:rsid w:val="000E1A39"/>
    <w:rsid w:val="0010390C"/>
    <w:rsid w:val="00142D32"/>
    <w:rsid w:val="001571AF"/>
    <w:rsid w:val="00164875"/>
    <w:rsid w:val="00166493"/>
    <w:rsid w:val="00172A27"/>
    <w:rsid w:val="001C18CC"/>
    <w:rsid w:val="001C5613"/>
    <w:rsid w:val="001D3221"/>
    <w:rsid w:val="001D799F"/>
    <w:rsid w:val="00202C23"/>
    <w:rsid w:val="00205242"/>
    <w:rsid w:val="00205DBD"/>
    <w:rsid w:val="00210A1D"/>
    <w:rsid w:val="00240DA4"/>
    <w:rsid w:val="002519FD"/>
    <w:rsid w:val="00272678"/>
    <w:rsid w:val="00273CD8"/>
    <w:rsid w:val="00273E55"/>
    <w:rsid w:val="002B094E"/>
    <w:rsid w:val="002C2065"/>
    <w:rsid w:val="002F205F"/>
    <w:rsid w:val="00300F0C"/>
    <w:rsid w:val="003348DF"/>
    <w:rsid w:val="00346030"/>
    <w:rsid w:val="0035644A"/>
    <w:rsid w:val="003604F6"/>
    <w:rsid w:val="003626AF"/>
    <w:rsid w:val="003A6B16"/>
    <w:rsid w:val="003B6DCF"/>
    <w:rsid w:val="003C2CD1"/>
    <w:rsid w:val="00402DF9"/>
    <w:rsid w:val="00426A52"/>
    <w:rsid w:val="00427900"/>
    <w:rsid w:val="00444096"/>
    <w:rsid w:val="0046701F"/>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B706C"/>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21E2B"/>
    <w:rsid w:val="00A6283B"/>
    <w:rsid w:val="00A72F34"/>
    <w:rsid w:val="00A92D02"/>
    <w:rsid w:val="00AB18B6"/>
    <w:rsid w:val="00AB1EEA"/>
    <w:rsid w:val="00AB6453"/>
    <w:rsid w:val="00AC7918"/>
    <w:rsid w:val="00AE2C23"/>
    <w:rsid w:val="00AF1E53"/>
    <w:rsid w:val="00AF25A5"/>
    <w:rsid w:val="00AF4BEC"/>
    <w:rsid w:val="00AF539B"/>
    <w:rsid w:val="00B12A31"/>
    <w:rsid w:val="00B15858"/>
    <w:rsid w:val="00B303C2"/>
    <w:rsid w:val="00B50B49"/>
    <w:rsid w:val="00B93F76"/>
    <w:rsid w:val="00BA1CAE"/>
    <w:rsid w:val="00BB0DD9"/>
    <w:rsid w:val="00BE24EF"/>
    <w:rsid w:val="00BE6BC3"/>
    <w:rsid w:val="00C165B0"/>
    <w:rsid w:val="00C454A0"/>
    <w:rsid w:val="00C53E83"/>
    <w:rsid w:val="00C7141E"/>
    <w:rsid w:val="00C7194D"/>
    <w:rsid w:val="00C93B65"/>
    <w:rsid w:val="00CB1442"/>
    <w:rsid w:val="00CB4EAA"/>
    <w:rsid w:val="00CD6FE9"/>
    <w:rsid w:val="00CE2050"/>
    <w:rsid w:val="00CE443D"/>
    <w:rsid w:val="00D02E59"/>
    <w:rsid w:val="00D15733"/>
    <w:rsid w:val="00D1607D"/>
    <w:rsid w:val="00D249DD"/>
    <w:rsid w:val="00D60EAE"/>
    <w:rsid w:val="00D60F2E"/>
    <w:rsid w:val="00D934FC"/>
    <w:rsid w:val="00D94B3C"/>
    <w:rsid w:val="00DA1FD9"/>
    <w:rsid w:val="00DA4985"/>
    <w:rsid w:val="00DA7119"/>
    <w:rsid w:val="00DB4C2B"/>
    <w:rsid w:val="00DC5DF0"/>
    <w:rsid w:val="00DD18EB"/>
    <w:rsid w:val="00DE6371"/>
    <w:rsid w:val="00DF2B57"/>
    <w:rsid w:val="00DF7642"/>
    <w:rsid w:val="00E30A52"/>
    <w:rsid w:val="00E42AA9"/>
    <w:rsid w:val="00E53609"/>
    <w:rsid w:val="00E642DF"/>
    <w:rsid w:val="00E82434"/>
    <w:rsid w:val="00E90327"/>
    <w:rsid w:val="00E927FF"/>
    <w:rsid w:val="00EC62C6"/>
    <w:rsid w:val="00ED718A"/>
    <w:rsid w:val="00EF16FF"/>
    <w:rsid w:val="00EF7EF1"/>
    <w:rsid w:val="00F1488D"/>
    <w:rsid w:val="00F27C0A"/>
    <w:rsid w:val="00F463BE"/>
    <w:rsid w:val="00F562D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2927E8"/>
    <w:rsid w:val="03360A51"/>
    <w:rsid w:val="03380757"/>
    <w:rsid w:val="033E575A"/>
    <w:rsid w:val="036B6B95"/>
    <w:rsid w:val="038226D6"/>
    <w:rsid w:val="03960557"/>
    <w:rsid w:val="03B141EB"/>
    <w:rsid w:val="03C834BA"/>
    <w:rsid w:val="03D56ECF"/>
    <w:rsid w:val="03D630D0"/>
    <w:rsid w:val="03DF68F4"/>
    <w:rsid w:val="03ED0A2F"/>
    <w:rsid w:val="03F510F7"/>
    <w:rsid w:val="04063E45"/>
    <w:rsid w:val="040F04F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35DCE"/>
    <w:rsid w:val="077508BA"/>
    <w:rsid w:val="077772C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04266"/>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3E7545"/>
    <w:rsid w:val="0F56600C"/>
    <w:rsid w:val="0F723405"/>
    <w:rsid w:val="0F751969"/>
    <w:rsid w:val="0FCC7A5D"/>
    <w:rsid w:val="0FDB62B2"/>
    <w:rsid w:val="0FE0087A"/>
    <w:rsid w:val="0FE034BE"/>
    <w:rsid w:val="100A243A"/>
    <w:rsid w:val="1015385D"/>
    <w:rsid w:val="102A44BB"/>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BB74A5"/>
    <w:rsid w:val="13EB2E20"/>
    <w:rsid w:val="13EE17CA"/>
    <w:rsid w:val="13F71AAC"/>
    <w:rsid w:val="13F727DE"/>
    <w:rsid w:val="140531B2"/>
    <w:rsid w:val="141603C9"/>
    <w:rsid w:val="143E047A"/>
    <w:rsid w:val="145C30F7"/>
    <w:rsid w:val="146A70C1"/>
    <w:rsid w:val="14980C4A"/>
    <w:rsid w:val="14980E16"/>
    <w:rsid w:val="1498179F"/>
    <w:rsid w:val="14BA42FD"/>
    <w:rsid w:val="14C07725"/>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2642"/>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3F7286"/>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8702AB"/>
    <w:rsid w:val="1CAD29F5"/>
    <w:rsid w:val="1CB17D58"/>
    <w:rsid w:val="1CD04682"/>
    <w:rsid w:val="1CDD7D1E"/>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C172C"/>
    <w:rsid w:val="1D8F37AE"/>
    <w:rsid w:val="1D987A7A"/>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3928C0"/>
    <w:rsid w:val="217F414A"/>
    <w:rsid w:val="21957A4E"/>
    <w:rsid w:val="21B209FB"/>
    <w:rsid w:val="21C307B3"/>
    <w:rsid w:val="21CE3C80"/>
    <w:rsid w:val="21D11C50"/>
    <w:rsid w:val="21E27CC2"/>
    <w:rsid w:val="21E82062"/>
    <w:rsid w:val="21FC1CC5"/>
    <w:rsid w:val="220F22ED"/>
    <w:rsid w:val="22266C58"/>
    <w:rsid w:val="22290B71"/>
    <w:rsid w:val="223920C8"/>
    <w:rsid w:val="2257773E"/>
    <w:rsid w:val="227535F4"/>
    <w:rsid w:val="22754149"/>
    <w:rsid w:val="228C37EE"/>
    <w:rsid w:val="228C6100"/>
    <w:rsid w:val="22A30ED5"/>
    <w:rsid w:val="22A75A54"/>
    <w:rsid w:val="22C75FB3"/>
    <w:rsid w:val="22D47DA3"/>
    <w:rsid w:val="22E43FB7"/>
    <w:rsid w:val="231432F6"/>
    <w:rsid w:val="23202A87"/>
    <w:rsid w:val="23211294"/>
    <w:rsid w:val="23291D55"/>
    <w:rsid w:val="23316C48"/>
    <w:rsid w:val="23331629"/>
    <w:rsid w:val="23533555"/>
    <w:rsid w:val="235C166E"/>
    <w:rsid w:val="2375570F"/>
    <w:rsid w:val="23870C5D"/>
    <w:rsid w:val="23921B99"/>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613C4"/>
    <w:rsid w:val="252C2973"/>
    <w:rsid w:val="252E461A"/>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2B207E"/>
    <w:rsid w:val="2832016E"/>
    <w:rsid w:val="28332E82"/>
    <w:rsid w:val="28945AD5"/>
    <w:rsid w:val="28A17421"/>
    <w:rsid w:val="28CB2405"/>
    <w:rsid w:val="28CC65CA"/>
    <w:rsid w:val="28E31299"/>
    <w:rsid w:val="28E4564A"/>
    <w:rsid w:val="28EA4A57"/>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4143DD"/>
    <w:rsid w:val="2F590537"/>
    <w:rsid w:val="2F7E56E8"/>
    <w:rsid w:val="2F8D4F86"/>
    <w:rsid w:val="2FB62E8D"/>
    <w:rsid w:val="2FC00527"/>
    <w:rsid w:val="30045BF1"/>
    <w:rsid w:val="300C6F30"/>
    <w:rsid w:val="302A1EA4"/>
    <w:rsid w:val="302F697C"/>
    <w:rsid w:val="303B074A"/>
    <w:rsid w:val="303D10B7"/>
    <w:rsid w:val="30465DAA"/>
    <w:rsid w:val="30556F21"/>
    <w:rsid w:val="30620D79"/>
    <w:rsid w:val="306F405F"/>
    <w:rsid w:val="307716A4"/>
    <w:rsid w:val="30791531"/>
    <w:rsid w:val="307A0518"/>
    <w:rsid w:val="309D35EF"/>
    <w:rsid w:val="30B66302"/>
    <w:rsid w:val="30B751B3"/>
    <w:rsid w:val="30CE0CEB"/>
    <w:rsid w:val="30E35EBD"/>
    <w:rsid w:val="30EF615D"/>
    <w:rsid w:val="30F614B6"/>
    <w:rsid w:val="30FD3114"/>
    <w:rsid w:val="30FD66FE"/>
    <w:rsid w:val="31254E86"/>
    <w:rsid w:val="31393383"/>
    <w:rsid w:val="317132B7"/>
    <w:rsid w:val="31995AF6"/>
    <w:rsid w:val="31B10180"/>
    <w:rsid w:val="31B168FB"/>
    <w:rsid w:val="31C110EE"/>
    <w:rsid w:val="31CB160E"/>
    <w:rsid w:val="31D81033"/>
    <w:rsid w:val="31DC0B3C"/>
    <w:rsid w:val="31DC7938"/>
    <w:rsid w:val="31ED64D1"/>
    <w:rsid w:val="31F42769"/>
    <w:rsid w:val="31F6028F"/>
    <w:rsid w:val="32006559"/>
    <w:rsid w:val="321B7CF6"/>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70279"/>
    <w:rsid w:val="36980DD0"/>
    <w:rsid w:val="36BD5820"/>
    <w:rsid w:val="36C0156D"/>
    <w:rsid w:val="36CF4BC1"/>
    <w:rsid w:val="36D06F22"/>
    <w:rsid w:val="36F27910"/>
    <w:rsid w:val="3707369A"/>
    <w:rsid w:val="370C460C"/>
    <w:rsid w:val="37117618"/>
    <w:rsid w:val="371B6C62"/>
    <w:rsid w:val="372D17C3"/>
    <w:rsid w:val="373B0A3F"/>
    <w:rsid w:val="375508FE"/>
    <w:rsid w:val="37592A8C"/>
    <w:rsid w:val="375F0F03"/>
    <w:rsid w:val="37702AE4"/>
    <w:rsid w:val="377A75FB"/>
    <w:rsid w:val="379940D4"/>
    <w:rsid w:val="379B22F5"/>
    <w:rsid w:val="379C24D3"/>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3B099E"/>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A31CC"/>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1EC5D77"/>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4A78E1"/>
    <w:rsid w:val="446D66E7"/>
    <w:rsid w:val="44833717"/>
    <w:rsid w:val="449874FC"/>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425862"/>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01AD7"/>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795EA4"/>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44E21"/>
    <w:rsid w:val="4E5959D6"/>
    <w:rsid w:val="4E7B3B9E"/>
    <w:rsid w:val="4E7B594C"/>
    <w:rsid w:val="4E7B64C2"/>
    <w:rsid w:val="4E7F0372"/>
    <w:rsid w:val="4E953E08"/>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07193"/>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311B1"/>
    <w:rsid w:val="5CC6567E"/>
    <w:rsid w:val="5CD77A98"/>
    <w:rsid w:val="5CF408B8"/>
    <w:rsid w:val="5CF47502"/>
    <w:rsid w:val="5CF60A0C"/>
    <w:rsid w:val="5D2106CA"/>
    <w:rsid w:val="5D274F13"/>
    <w:rsid w:val="5D3E0BA9"/>
    <w:rsid w:val="5D53665D"/>
    <w:rsid w:val="5D690E03"/>
    <w:rsid w:val="5D6935B6"/>
    <w:rsid w:val="5D8B2FDB"/>
    <w:rsid w:val="5D980AE0"/>
    <w:rsid w:val="5D9C768D"/>
    <w:rsid w:val="5DBC388C"/>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0EA7638"/>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70498"/>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5FF6A0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DD6475"/>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94629F"/>
    <w:rsid w:val="6CA51F03"/>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904E30"/>
    <w:rsid w:val="70CC3C5C"/>
    <w:rsid w:val="70D13186"/>
    <w:rsid w:val="70DA79DB"/>
    <w:rsid w:val="70E66DDE"/>
    <w:rsid w:val="710708CC"/>
    <w:rsid w:val="710D33C2"/>
    <w:rsid w:val="710E6DC5"/>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EE3012"/>
    <w:rsid w:val="75F83F2A"/>
    <w:rsid w:val="761335AB"/>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A6D94"/>
    <w:rsid w:val="7A8C352B"/>
    <w:rsid w:val="7A9279F6"/>
    <w:rsid w:val="7AC22E37"/>
    <w:rsid w:val="7AD803EA"/>
    <w:rsid w:val="7AF97A75"/>
    <w:rsid w:val="7B0574E9"/>
    <w:rsid w:val="7B091377"/>
    <w:rsid w:val="7B367327"/>
    <w:rsid w:val="7B4B6F94"/>
    <w:rsid w:val="7B5E2AA7"/>
    <w:rsid w:val="7B71168E"/>
    <w:rsid w:val="7B9F046E"/>
    <w:rsid w:val="7BA571A1"/>
    <w:rsid w:val="7BA84BDE"/>
    <w:rsid w:val="7BDA4C3E"/>
    <w:rsid w:val="7BED0D99"/>
    <w:rsid w:val="7BF7759F"/>
    <w:rsid w:val="7C0E5BCD"/>
    <w:rsid w:val="7C1B4A3B"/>
    <w:rsid w:val="7C211D7D"/>
    <w:rsid w:val="7C2E45FA"/>
    <w:rsid w:val="7C366D83"/>
    <w:rsid w:val="7C665AD8"/>
    <w:rsid w:val="7C6B6133"/>
    <w:rsid w:val="7C8B7927"/>
    <w:rsid w:val="7C943EFA"/>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5"/>
    <w:autoRedefine/>
    <w:qFormat/>
    <w:uiPriority w:val="0"/>
    <w:pPr>
      <w:keepNext/>
      <w:keepLines/>
      <w:numPr>
        <w:ilvl w:val="0"/>
        <w:numId w:val="2"/>
      </w:numPr>
      <w:spacing w:line="360" w:lineRule="auto"/>
      <w:outlineLvl w:val="1"/>
    </w:pPr>
    <w:rPr>
      <w:rFonts w:ascii="Arial" w:hAnsi="Arial"/>
      <w:b/>
      <w:bCs/>
      <w:sz w:val="28"/>
      <w:szCs w:val="32"/>
    </w:rPr>
  </w:style>
  <w:style w:type="paragraph" w:styleId="2">
    <w:name w:val="heading 3"/>
    <w:next w:val="1"/>
    <w:autoRedefine/>
    <w:qFormat/>
    <w:uiPriority w:val="0"/>
    <w:pPr>
      <w:keepNext/>
      <w:keepLines/>
      <w:widowControl w:val="0"/>
      <w:spacing w:before="120" w:after="120" w:line="360" w:lineRule="auto"/>
      <w:jc w:val="left"/>
      <w:outlineLvl w:val="2"/>
    </w:pPr>
    <w:rPr>
      <w:rFonts w:ascii="黑体" w:hAnsi="黑体" w:eastAsia="黑体" w:cs="Times New Roman"/>
      <w:bCs/>
      <w:sz w:val="24"/>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unhideWhenUsed/>
    <w:qFormat/>
    <w:uiPriority w:val="99"/>
    <w:pPr>
      <w:snapToGrid w:val="0"/>
      <w:ind w:firstLine="200"/>
    </w:pPr>
    <w:rPr>
      <w:rFonts w:ascii="Arial" w:hAnsi="Arial" w:cs="Arial"/>
      <w:szCs w:val="20"/>
    </w:rPr>
  </w:style>
  <w:style w:type="paragraph" w:styleId="9">
    <w:name w:val="Balloon Text"/>
    <w:basedOn w:val="1"/>
    <w:link w:val="41"/>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spacing w:beforeAutospacing="1" w:afterAutospacing="1"/>
      <w:jc w:val="left"/>
    </w:pPr>
    <w:rPr>
      <w:rFonts w:cs="Times New Roman"/>
      <w:kern w:val="0"/>
      <w:sz w:val="24"/>
    </w:rPr>
  </w:style>
  <w:style w:type="paragraph" w:styleId="13">
    <w:name w:val="Title"/>
    <w:basedOn w:val="1"/>
    <w:next w:val="1"/>
    <w:autoRedefine/>
    <w:qFormat/>
    <w:uiPriority w:val="0"/>
    <w:pPr>
      <w:jc w:val="center"/>
    </w:pPr>
    <w:rPr>
      <w:sz w:val="30"/>
      <w:szCs w:val="30"/>
    </w:rPr>
  </w:style>
  <w:style w:type="paragraph" w:styleId="14">
    <w:name w:val="Body Text First Indent 2"/>
    <w:basedOn w:val="7"/>
    <w:next w:val="6"/>
    <w:autoRedefine/>
    <w:unhideWhenUsed/>
    <w:qFormat/>
    <w:uiPriority w:val="99"/>
    <w:pPr>
      <w:ind w:firstLine="420" w:firstLineChars="200"/>
    </w:pPr>
    <w:rPr>
      <w:szCs w:val="2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FollowedHyperlink"/>
    <w:basedOn w:val="17"/>
    <w:autoRedefine/>
    <w:qFormat/>
    <w:uiPriority w:val="0"/>
    <w:rPr>
      <w:rFonts w:hint="eastAsia" w:ascii="微软雅黑" w:hAnsi="微软雅黑" w:eastAsia="微软雅黑" w:cs="微软雅黑"/>
      <w:color w:val="323232"/>
      <w:sz w:val="21"/>
      <w:szCs w:val="21"/>
      <w:u w:val="none"/>
    </w:rPr>
  </w:style>
  <w:style w:type="character" w:styleId="21">
    <w:name w:val="Hyperlink"/>
    <w:basedOn w:val="17"/>
    <w:autoRedefine/>
    <w:qFormat/>
    <w:uiPriority w:val="0"/>
    <w:rPr>
      <w:color w:val="0000FF"/>
      <w:u w:val="single"/>
    </w:rPr>
  </w:style>
  <w:style w:type="paragraph" w:customStyle="1" w:styleId="22">
    <w:name w:val="WPSOffice手动目录 1"/>
    <w:autoRedefine/>
    <w:qFormat/>
    <w:uiPriority w:val="0"/>
    <w:rPr>
      <w:rFonts w:asciiTheme="minorHAnsi" w:hAnsiTheme="minorHAnsi" w:eastAsiaTheme="minorEastAsia" w:cstheme="minorBidi"/>
      <w:lang w:val="en-US" w:eastAsia="zh-CN" w:bidi="ar-SA"/>
    </w:rPr>
  </w:style>
  <w:style w:type="paragraph" w:customStyle="1" w:styleId="2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4">
    <w:name w:val="正文 题目"/>
    <w:basedOn w:val="1"/>
    <w:autoRedefine/>
    <w:qFormat/>
    <w:uiPriority w:val="0"/>
    <w:pPr>
      <w:jc w:val="center"/>
    </w:pPr>
    <w:rPr>
      <w:rFonts w:ascii="黑体" w:hAnsi="黑体" w:eastAsia="黑体"/>
      <w:sz w:val="28"/>
    </w:rPr>
  </w:style>
  <w:style w:type="character" w:customStyle="1" w:styleId="25">
    <w:name w:val="标题 2 Char"/>
    <w:link w:val="4"/>
    <w:autoRedefine/>
    <w:qFormat/>
    <w:uiPriority w:val="0"/>
    <w:rPr>
      <w:rFonts w:ascii="Arial" w:hAnsi="Arial"/>
      <w:b/>
      <w:bCs/>
      <w:sz w:val="28"/>
      <w:szCs w:val="32"/>
    </w:rPr>
  </w:style>
  <w:style w:type="character" w:customStyle="1" w:styleId="26">
    <w:name w:val="font01"/>
    <w:basedOn w:val="17"/>
    <w:autoRedefine/>
    <w:qFormat/>
    <w:uiPriority w:val="0"/>
    <w:rPr>
      <w:rFonts w:hint="eastAsia" w:ascii="宋体" w:hAnsi="宋体" w:eastAsia="宋体" w:cs="宋体"/>
      <w:color w:val="000000"/>
      <w:sz w:val="20"/>
      <w:szCs w:val="20"/>
      <w:u w:val="none"/>
    </w:rPr>
  </w:style>
  <w:style w:type="character" w:customStyle="1" w:styleId="27">
    <w:name w:val="font31"/>
    <w:basedOn w:val="17"/>
    <w:autoRedefine/>
    <w:qFormat/>
    <w:uiPriority w:val="0"/>
    <w:rPr>
      <w:rFonts w:hint="eastAsia" w:ascii="宋体" w:hAnsi="宋体" w:eastAsia="宋体" w:cs="宋体"/>
      <w:color w:val="000000"/>
      <w:sz w:val="24"/>
      <w:szCs w:val="24"/>
      <w:u w:val="none"/>
    </w:rPr>
  </w:style>
  <w:style w:type="character" w:customStyle="1" w:styleId="28">
    <w:name w:val="font61"/>
    <w:basedOn w:val="17"/>
    <w:autoRedefine/>
    <w:qFormat/>
    <w:uiPriority w:val="0"/>
    <w:rPr>
      <w:rFonts w:hint="default" w:ascii="Times New Roman" w:hAnsi="Times New Roman" w:cs="Times New Roman"/>
      <w:color w:val="000000"/>
      <w:sz w:val="24"/>
      <w:szCs w:val="24"/>
      <w:u w:val="none"/>
    </w:rPr>
  </w:style>
  <w:style w:type="character" w:customStyle="1" w:styleId="29">
    <w:name w:val="font11"/>
    <w:basedOn w:val="17"/>
    <w:autoRedefine/>
    <w:qFormat/>
    <w:uiPriority w:val="0"/>
    <w:rPr>
      <w:rFonts w:hint="eastAsia" w:ascii="宋体" w:hAnsi="宋体" w:eastAsia="宋体" w:cs="宋体"/>
      <w:color w:val="000000"/>
      <w:sz w:val="24"/>
      <w:szCs w:val="24"/>
      <w:u w:val="none"/>
    </w:rPr>
  </w:style>
  <w:style w:type="character" w:customStyle="1" w:styleId="30">
    <w:name w:val="font51"/>
    <w:basedOn w:val="17"/>
    <w:autoRedefine/>
    <w:qFormat/>
    <w:uiPriority w:val="0"/>
    <w:rPr>
      <w:rFonts w:ascii="Calibri" w:hAnsi="Calibri" w:cs="Calibri"/>
      <w:color w:val="000000"/>
      <w:sz w:val="24"/>
      <w:szCs w:val="24"/>
      <w:u w:val="none"/>
    </w:rPr>
  </w:style>
  <w:style w:type="character" w:customStyle="1" w:styleId="31">
    <w:name w:val="font21"/>
    <w:basedOn w:val="17"/>
    <w:autoRedefine/>
    <w:qFormat/>
    <w:uiPriority w:val="0"/>
    <w:rPr>
      <w:rFonts w:hint="eastAsia" w:ascii="宋体" w:hAnsi="宋体" w:eastAsia="宋体" w:cs="宋体"/>
      <w:b/>
      <w:bCs/>
      <w:color w:val="000000"/>
      <w:sz w:val="20"/>
      <w:szCs w:val="20"/>
      <w:u w:val="none"/>
    </w:rPr>
  </w:style>
  <w:style w:type="character" w:customStyle="1" w:styleId="32">
    <w:name w:val="font81"/>
    <w:basedOn w:val="17"/>
    <w:autoRedefine/>
    <w:qFormat/>
    <w:uiPriority w:val="0"/>
    <w:rPr>
      <w:rFonts w:hint="default" w:ascii="Times New Roman" w:hAnsi="Times New Roman" w:cs="Times New Roman"/>
      <w:b/>
      <w:bCs/>
      <w:color w:val="000000"/>
      <w:sz w:val="20"/>
      <w:szCs w:val="20"/>
      <w:u w:val="none"/>
    </w:rPr>
  </w:style>
  <w:style w:type="character" w:customStyle="1" w:styleId="33">
    <w:name w:val="font41"/>
    <w:basedOn w:val="17"/>
    <w:autoRedefine/>
    <w:qFormat/>
    <w:uiPriority w:val="0"/>
    <w:rPr>
      <w:rFonts w:hint="eastAsia" w:ascii="宋体" w:hAnsi="宋体" w:eastAsia="宋体" w:cs="宋体"/>
      <w:color w:val="000000"/>
      <w:sz w:val="20"/>
      <w:szCs w:val="20"/>
      <w:u w:val="none"/>
    </w:rPr>
  </w:style>
  <w:style w:type="character" w:customStyle="1" w:styleId="34">
    <w:name w:val="font71"/>
    <w:basedOn w:val="17"/>
    <w:autoRedefine/>
    <w:qFormat/>
    <w:uiPriority w:val="0"/>
    <w:rPr>
      <w:rFonts w:hint="eastAsia" w:ascii="宋体" w:hAnsi="宋体" w:eastAsia="宋体" w:cs="宋体"/>
      <w:b/>
      <w:bCs/>
      <w:color w:val="000000"/>
      <w:sz w:val="20"/>
      <w:szCs w:val="20"/>
      <w:u w:val="none"/>
      <w:vertAlign w:val="superscript"/>
    </w:rPr>
  </w:style>
  <w:style w:type="character" w:customStyle="1" w:styleId="35">
    <w:name w:val="hover52"/>
    <w:basedOn w:val="17"/>
    <w:autoRedefine/>
    <w:qFormat/>
    <w:uiPriority w:val="0"/>
    <w:rPr>
      <w:color w:val="D61521"/>
    </w:rPr>
  </w:style>
  <w:style w:type="paragraph" w:customStyle="1" w:styleId="36">
    <w:name w:val="Table Paragraph"/>
    <w:basedOn w:val="1"/>
    <w:autoRedefine/>
    <w:qFormat/>
    <w:uiPriority w:val="1"/>
    <w:rPr>
      <w:rFonts w:ascii="宋体" w:hAnsi="宋体" w:eastAsia="宋体" w:cs="宋体"/>
      <w:lang w:val="zh-CN" w:bidi="zh-CN"/>
    </w:rPr>
  </w:style>
  <w:style w:type="character" w:customStyle="1" w:styleId="37">
    <w:name w:val="页眉 Char"/>
    <w:basedOn w:val="17"/>
    <w:link w:val="11"/>
    <w:autoRedefine/>
    <w:qFormat/>
    <w:uiPriority w:val="0"/>
    <w:rPr>
      <w:rFonts w:asciiTheme="minorHAnsi" w:hAnsiTheme="minorHAnsi" w:eastAsiaTheme="minorEastAsia" w:cstheme="minorBidi"/>
      <w:kern w:val="2"/>
      <w:sz w:val="18"/>
      <w:szCs w:val="18"/>
    </w:rPr>
  </w:style>
  <w:style w:type="paragraph" w:styleId="38">
    <w:name w:val="List Paragraph"/>
    <w:basedOn w:val="1"/>
    <w:autoRedefine/>
    <w:unhideWhenUsed/>
    <w:qFormat/>
    <w:uiPriority w:val="99"/>
    <w:pPr>
      <w:ind w:firstLine="420" w:firstLineChars="200"/>
    </w:pPr>
  </w:style>
  <w:style w:type="paragraph" w:customStyle="1" w:styleId="39">
    <w:name w:val="正文1"/>
    <w:basedOn w:val="1"/>
    <w:autoRedefine/>
    <w:qFormat/>
    <w:uiPriority w:val="0"/>
    <w:pPr>
      <w:spacing w:line="400" w:lineRule="exact"/>
    </w:pPr>
    <w:rPr>
      <w:rFonts w:ascii="宋体" w:hAnsi="宋体" w:cs="宋体"/>
      <w:b/>
      <w:bCs/>
      <w:color w:val="000000"/>
      <w:kern w:val="0"/>
      <w:szCs w:val="21"/>
    </w:rPr>
  </w:style>
  <w:style w:type="character" w:customStyle="1" w:styleId="40">
    <w:name w:val="NormalCharacter"/>
    <w:autoRedefine/>
    <w:semiHidden/>
    <w:qFormat/>
    <w:uiPriority w:val="0"/>
  </w:style>
  <w:style w:type="character" w:customStyle="1" w:styleId="41">
    <w:name w:val="批注框文本 Char"/>
    <w:basedOn w:val="17"/>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03D9"/>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2969</Words>
  <Characters>16924</Characters>
  <Lines>141</Lines>
  <Paragraphs>39</Paragraphs>
  <TotalTime>29</TotalTime>
  <ScaleCrop>false</ScaleCrop>
  <LinksUpToDate>false</LinksUpToDate>
  <CharactersWithSpaces>19854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2024-04-09T07:34:00Z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438AF38965144BEF8D25FD34CF842E79_13</vt:lpwstr>
  </property>
</Properties>
</file>