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sz w:val="44"/>
          <w:szCs w:val="44"/>
        </w:rPr>
      </w:pPr>
      <w:r>
        <w:rPr>
          <w:rFonts w:hint="eastAsia" w:ascii="宋体" w:hAnsi="宋体" w:eastAsia="宋体" w:cs="宋体"/>
          <w:b/>
          <w:bCs/>
          <w:sz w:val="44"/>
          <w:szCs w:val="44"/>
        </w:rPr>
        <w:t xml:space="preserve"> </w:t>
      </w:r>
      <w:r>
        <w:rPr>
          <w:rFonts w:hint="eastAsia" w:ascii="宋体" w:hAnsi="宋体" w:eastAsia="宋体" w:cs="宋体"/>
          <w:b/>
          <w:bCs/>
          <w:sz w:val="44"/>
          <w:szCs w:val="44"/>
        </w:rPr>
        <w:t>202</w:t>
      </w:r>
      <w:r>
        <w:rPr>
          <w:rFonts w:hint="eastAsia" w:ascii="宋体" w:hAnsi="宋体" w:eastAsia="宋体" w:cs="宋体"/>
          <w:b/>
          <w:bCs/>
          <w:sz w:val="44"/>
          <w:szCs w:val="44"/>
          <w:lang w:val="en-US" w:eastAsia="zh-CN"/>
        </w:rPr>
        <w:t>4</w:t>
      </w:r>
      <w:r>
        <w:rPr>
          <w:rFonts w:hint="eastAsia" w:ascii="宋体" w:hAnsi="宋体" w:eastAsia="宋体" w:cs="宋体"/>
          <w:b/>
          <w:bCs/>
          <w:sz w:val="44"/>
          <w:szCs w:val="44"/>
        </w:rPr>
        <w:t>年度安徽交运集团汽车销售有限公司</w:t>
      </w:r>
      <w:r>
        <w:rPr>
          <w:rFonts w:hint="eastAsia" w:ascii="宋体" w:hAnsi="宋体" w:eastAsia="宋体" w:cs="宋体"/>
          <w:b/>
          <w:bCs/>
          <w:sz w:val="44"/>
          <w:szCs w:val="44"/>
          <w:lang w:val="en-US" w:eastAsia="zh-CN"/>
        </w:rPr>
        <w:t>3.29特种</w:t>
      </w:r>
      <w:r>
        <w:rPr>
          <w:rFonts w:hint="eastAsia" w:ascii="宋体" w:hAnsi="宋体" w:eastAsia="宋体" w:cs="宋体"/>
          <w:b/>
          <w:bCs/>
          <w:sz w:val="44"/>
          <w:szCs w:val="44"/>
          <w:lang w:val="en-US" w:eastAsia="zh-CN"/>
        </w:rPr>
        <w:t>设备</w:t>
      </w:r>
      <w:r>
        <w:rPr>
          <w:rFonts w:hint="eastAsia" w:ascii="宋体" w:hAnsi="宋体" w:eastAsia="宋体" w:cs="宋体"/>
          <w:b/>
          <w:bCs/>
          <w:sz w:val="44"/>
          <w:szCs w:val="44"/>
        </w:rPr>
        <w:t>采购项目</w:t>
      </w:r>
    </w:p>
    <w:p>
      <w:pPr>
        <w:widowControl/>
        <w:jc w:val="center"/>
        <w:rPr>
          <w:rFonts w:hint="eastAsia" w:ascii="宋体" w:hAnsi="宋体" w:eastAsia="宋体" w:cs="宋体"/>
          <w:b/>
          <w:bCs/>
          <w:sz w:val="44"/>
          <w:szCs w:val="44"/>
        </w:rPr>
      </w:pPr>
    </w:p>
    <w:p>
      <w:pPr>
        <w:pStyle w:val="2"/>
        <w:rPr>
          <w:rFonts w:ascii="Times New Roman" w:hAnsi="Times New Roman" w:cs="Times New Roman"/>
          <w:szCs w:val="21"/>
        </w:rPr>
      </w:pPr>
    </w:p>
    <w:p>
      <w:pPr>
        <w:pStyle w:val="2"/>
        <w:rPr>
          <w:rFonts w:ascii="Times New Roman" w:hAnsi="Times New Roman" w:cs="Times New Roman"/>
          <w:szCs w:val="21"/>
        </w:rPr>
      </w:pPr>
      <w:bookmarkStart w:id="169" w:name="_GoBack"/>
      <w:bookmarkEnd w:id="169"/>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highlight w:val="none"/>
        </w:rPr>
      </w:pPr>
      <w:r>
        <w:rPr>
          <w:rFonts w:ascii="Times New Roman" w:hAnsi="Times New Roman" w:eastAsia="黑体" w:cs="Times New Roman"/>
          <w:sz w:val="32"/>
          <w:szCs w:val="32"/>
          <w:highlight w:val="none"/>
        </w:rPr>
        <w:t>日</w:t>
      </w:r>
      <w:r>
        <w:rPr>
          <w:rFonts w:hint="eastAsia" w:ascii="Times New Roman" w:hAnsi="Times New Roman" w:eastAsia="黑体" w:cs="Times New Roman"/>
          <w:sz w:val="32"/>
          <w:szCs w:val="32"/>
          <w:highlight w:val="none"/>
        </w:rPr>
        <w:t xml:space="preserve">  </w:t>
      </w:r>
      <w:r>
        <w:rPr>
          <w:rFonts w:ascii="Times New Roman" w:hAnsi="Times New Roman" w:eastAsia="黑体" w:cs="Times New Roman"/>
          <w:sz w:val="32"/>
          <w:szCs w:val="32"/>
          <w:highlight w:val="none"/>
        </w:rPr>
        <w:t>期</w:t>
      </w:r>
      <w:r>
        <w:rPr>
          <w:rFonts w:ascii="Times New Roman" w:hAnsi="Times New Roman" w:cs="Times New Roman"/>
          <w:sz w:val="32"/>
          <w:szCs w:val="32"/>
          <w:highlight w:val="none"/>
        </w:rPr>
        <w:t>：</w:t>
      </w:r>
      <w:r>
        <w:rPr>
          <w:rFonts w:hint="eastAsia" w:ascii="Times New Roman" w:hAnsi="Times New Roman" w:eastAsia="黑体" w:cs="Times New Roman"/>
          <w:sz w:val="32"/>
          <w:szCs w:val="32"/>
          <w:highlight w:val="none"/>
          <w:u w:val="single"/>
        </w:rPr>
        <w:t>202</w:t>
      </w:r>
      <w:r>
        <w:rPr>
          <w:rFonts w:hint="eastAsia" w:ascii="Times New Roman" w:hAnsi="Times New Roman" w:eastAsia="黑体" w:cs="Times New Roman"/>
          <w:sz w:val="32"/>
          <w:szCs w:val="32"/>
          <w:highlight w:val="none"/>
          <w:u w:val="single"/>
          <w:lang w:val="en-US" w:eastAsia="zh-CN"/>
        </w:rPr>
        <w:t>4</w:t>
      </w:r>
      <w:r>
        <w:rPr>
          <w:rFonts w:ascii="Times New Roman" w:hAnsi="Times New Roman" w:cs="Times New Roman"/>
          <w:sz w:val="32"/>
          <w:szCs w:val="32"/>
          <w:highlight w:val="none"/>
        </w:rPr>
        <w:t>年</w:t>
      </w:r>
      <w:r>
        <w:rPr>
          <w:rFonts w:hint="eastAsia" w:ascii="Times New Roman" w:hAnsi="Times New Roman" w:cs="Times New Roman"/>
          <w:sz w:val="32"/>
          <w:szCs w:val="32"/>
          <w:highlight w:val="none"/>
          <w:u w:val="single"/>
        </w:rPr>
        <w:t xml:space="preserve"> </w:t>
      </w:r>
      <w:r>
        <w:rPr>
          <w:rFonts w:hint="eastAsia" w:ascii="Times New Roman" w:hAnsi="Times New Roman" w:cs="Times New Roman"/>
          <w:sz w:val="32"/>
          <w:szCs w:val="32"/>
          <w:highlight w:val="none"/>
          <w:u w:val="single"/>
          <w:lang w:val="en-US" w:eastAsia="zh-CN"/>
        </w:rPr>
        <w:t>3</w:t>
      </w:r>
      <w:r>
        <w:rPr>
          <w:rFonts w:ascii="Times New Roman" w:hAnsi="Times New Roman" w:cs="Times New Roman"/>
          <w:sz w:val="32"/>
          <w:szCs w:val="32"/>
          <w:highlight w:val="none"/>
        </w:rPr>
        <w:t>月</w:t>
      </w:r>
      <w:r>
        <w:rPr>
          <w:rFonts w:hint="eastAsia" w:ascii="Times New Roman" w:hAnsi="Times New Roman" w:cs="Times New Roman"/>
          <w:sz w:val="32"/>
          <w:szCs w:val="32"/>
          <w:highlight w:val="none"/>
          <w:u w:val="single"/>
        </w:rPr>
        <w:t xml:space="preserve"> </w:t>
      </w:r>
      <w:r>
        <w:rPr>
          <w:rFonts w:hint="eastAsia" w:ascii="Times New Roman" w:hAnsi="Times New Roman" w:cs="Times New Roman"/>
          <w:sz w:val="32"/>
          <w:szCs w:val="32"/>
          <w:highlight w:val="none"/>
          <w:u w:val="single"/>
          <w:lang w:val="en-US" w:eastAsia="zh-CN"/>
        </w:rPr>
        <w:t>29</w:t>
      </w:r>
      <w:r>
        <w:rPr>
          <w:rFonts w:hint="eastAsia" w:ascii="Times New Roman" w:hAnsi="Times New Roman" w:cs="Times New Roman"/>
          <w:sz w:val="32"/>
          <w:szCs w:val="32"/>
          <w:highlight w:val="none"/>
          <w:u w:val="single"/>
        </w:rPr>
        <w:t xml:space="preserve"> </w:t>
      </w:r>
      <w:r>
        <w:rPr>
          <w:rFonts w:ascii="Times New Roman" w:hAnsi="Times New Roman" w:cs="Times New Roman"/>
          <w:sz w:val="32"/>
          <w:szCs w:val="32"/>
          <w:highlight w:val="none"/>
        </w:rPr>
        <w:t>日</w:t>
      </w:r>
    </w:p>
    <w:p>
      <w:pPr>
        <w:ind w:left="1896" w:leftChars="903"/>
        <w:rPr>
          <w:rFonts w:ascii="Times New Roman" w:hAnsi="Times New Roman" w:eastAsia="宋体" w:cs="Times New Roman"/>
          <w:sz w:val="24"/>
          <w:highlight w:val="none"/>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 录</w:t>
          </w:r>
        </w:p>
        <w:p>
          <w:pPr>
            <w:pStyle w:val="2"/>
          </w:pPr>
        </w:p>
        <w:p>
          <w:pPr>
            <w:pStyle w:val="21"/>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1"/>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1"/>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12765"/>
      <w:bookmarkStart w:id="3" w:name="_Toc4489_WPSOffice_Level2"/>
      <w:bookmarkStart w:id="4" w:name="_Toc13871"/>
      <w:bookmarkStart w:id="5" w:name="_Toc6496_WPSOffice_Level2"/>
      <w:bookmarkStart w:id="6" w:name="_Toc24354_WPSOffice_Level2"/>
      <w:bookmarkStart w:id="7" w:name="_Toc525632585"/>
      <w:bookmarkStart w:id="8" w:name="_Toc10395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202</w:t>
      </w:r>
      <w:r>
        <w:rPr>
          <w:rFonts w:hint="eastAsia" w:ascii="宋体" w:hAnsi="宋体" w:eastAsia="宋体" w:cs="宋体"/>
          <w:szCs w:val="21"/>
          <w:u w:val="single"/>
          <w:lang w:val="en-US" w:eastAsia="zh-CN"/>
        </w:rPr>
        <w:t>4</w:t>
      </w:r>
      <w:r>
        <w:rPr>
          <w:rFonts w:hint="eastAsia" w:ascii="宋体" w:hAnsi="宋体" w:eastAsia="宋体" w:cs="宋体"/>
          <w:szCs w:val="21"/>
          <w:u w:val="single"/>
        </w:rPr>
        <w:t>年度安徽交运集团汽车销售有限公司</w:t>
      </w:r>
      <w:r>
        <w:rPr>
          <w:rFonts w:hint="eastAsia" w:ascii="宋体" w:hAnsi="宋体" w:eastAsia="宋体" w:cs="宋体"/>
          <w:szCs w:val="21"/>
          <w:u w:val="single"/>
          <w:lang w:val="en-US" w:eastAsia="zh-CN"/>
        </w:rPr>
        <w:t>3.29特种设备</w:t>
      </w:r>
      <w:r>
        <w:rPr>
          <w:rFonts w:hint="eastAsia" w:ascii="宋体" w:hAnsi="宋体" w:eastAsia="宋体" w:cs="宋体"/>
          <w:szCs w:val="21"/>
          <w:u w:val="single"/>
        </w:rPr>
        <w:t>采购项目</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ascii="Times New Roman" w:hAnsi="Times New Roman" w:cs="Times New Roman"/>
          <w:szCs w:val="22"/>
          <w:u w:val="single"/>
        </w:rPr>
      </w:pPr>
      <w:r>
        <w:rPr>
          <w:rFonts w:ascii="Times New Roman" w:hAnsi="Times New Roman" w:cs="Times New Roman"/>
          <w:szCs w:val="22"/>
        </w:rPr>
        <w:t>1.3 项目概况：</w:t>
      </w:r>
      <w:r>
        <w:rPr>
          <w:rFonts w:hint="eastAsia" w:ascii="Times New Roman" w:hAnsi="Times New Roman" w:cs="Times New Roman"/>
          <w:szCs w:val="22"/>
          <w:u w:val="single"/>
        </w:rPr>
        <w:t>用于高速公路路面</w:t>
      </w:r>
      <w:r>
        <w:rPr>
          <w:rFonts w:hint="eastAsia" w:ascii="Times New Roman" w:hAnsi="Times New Roman" w:cs="Times New Roman"/>
          <w:szCs w:val="22"/>
          <w:u w:val="single"/>
          <w:lang w:val="en-US" w:eastAsia="zh-CN"/>
        </w:rPr>
        <w:t>安全保畅</w:t>
      </w:r>
      <w:r>
        <w:rPr>
          <w:rFonts w:hint="eastAsia" w:ascii="Times New Roman" w:hAnsi="Times New Roman" w:cs="Times New Roman"/>
          <w:szCs w:val="22"/>
          <w:u w:val="single"/>
        </w:rPr>
        <w:t xml:space="preserve"> </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8128_WPSOffice_Level2"/>
      <w:bookmarkStart w:id="10" w:name="_Toc10274"/>
      <w:bookmarkStart w:id="11" w:name="_Toc17858_WPSOffice_Level2"/>
      <w:bookmarkStart w:id="12" w:name="_Toc18453"/>
      <w:bookmarkStart w:id="13" w:name="_Toc525632586"/>
      <w:bookmarkStart w:id="14" w:name="_Toc18367_WPSOffice_Level2"/>
      <w:bookmarkStart w:id="15" w:name="_Toc23266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hint="default" w:ascii="Times New Roman" w:hAnsi="Times New Roman" w:cs="Times New Roman" w:eastAsiaTheme="minorEastAsia"/>
          <w:szCs w:val="22"/>
          <w:u w:val="single"/>
          <w:lang w:val="en-US" w:eastAsia="zh-CN"/>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rPr>
        <w:t>采购多功能除雪车1台</w:t>
      </w:r>
      <w:r>
        <w:rPr>
          <w:rFonts w:hint="eastAsia" w:ascii="Times New Roman" w:hAnsi="Times New Roman" w:cs="Times New Roman"/>
          <w:szCs w:val="22"/>
          <w:u w:val="single"/>
          <w:lang w:eastAsia="zh-CN"/>
        </w:rPr>
        <w:t>（</w:t>
      </w:r>
      <w:r>
        <w:rPr>
          <w:rFonts w:hint="eastAsia" w:ascii="Times New Roman" w:hAnsi="Times New Roman" w:cs="Times New Roman"/>
          <w:szCs w:val="22"/>
          <w:u w:val="single"/>
          <w:lang w:val="en-US" w:eastAsia="zh-CN"/>
        </w:rPr>
        <w:t>另配3台雪铲）和防撞缓冲车1台</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color w:val="auto"/>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ascii="Times New Roman" w:hAnsi="Times New Roman" w:cs="Times New Roman"/>
          <w:color w:val="auto"/>
          <w:szCs w:val="22"/>
          <w:u w:val="single"/>
        </w:rPr>
        <w:t xml:space="preserve"> </w:t>
      </w:r>
      <w:r>
        <w:rPr>
          <w:rFonts w:hint="eastAsia" w:ascii="Times New Roman" w:hAnsi="Times New Roman" w:cs="Times New Roman"/>
          <w:color w:val="auto"/>
          <w:szCs w:val="22"/>
          <w:u w:val="single"/>
          <w:lang w:val="en-US" w:eastAsia="zh-CN"/>
        </w:rPr>
        <w:t>140</w:t>
      </w:r>
      <w:r>
        <w:rPr>
          <w:rFonts w:hint="eastAsia" w:ascii="Times New Roman" w:hAnsi="Times New Roman" w:cs="Times New Roman"/>
          <w:color w:val="auto"/>
          <w:szCs w:val="22"/>
          <w:highlight w:val="none"/>
          <w:u w:val="single"/>
        </w:rPr>
        <w:t>万元</w:t>
      </w:r>
    </w:p>
    <w:p>
      <w:pPr>
        <w:snapToGrid w:val="0"/>
        <w:spacing w:line="500" w:lineRule="atLeast"/>
        <w:ind w:firstLine="420" w:firstLineChars="200"/>
        <w:rPr>
          <w:rFonts w:hint="eastAsia" w:ascii="Times New Roman" w:hAnsi="Times New Roman" w:cs="Times New Roman" w:eastAsiaTheme="minorEastAsia"/>
          <w:szCs w:val="22"/>
          <w:u w:val="single"/>
          <w:lang w:val="en-US" w:eastAsia="zh-CN"/>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w:t>
      </w:r>
      <w:r>
        <w:rPr>
          <w:rFonts w:hint="eastAsia" w:cs="宋体"/>
          <w:szCs w:val="21"/>
          <w:u w:val="single"/>
          <w:lang w:val="en-US" w:eastAsia="zh-CN"/>
        </w:rPr>
        <w:t>6</w:t>
      </w:r>
      <w:r>
        <w:rPr>
          <w:rFonts w:hint="eastAsia" w:cs="宋体"/>
          <w:szCs w:val="21"/>
          <w:u w:val="single"/>
        </w:rPr>
        <w:t>0个日历日</w:t>
      </w:r>
      <w:r>
        <w:rPr>
          <w:rFonts w:hint="eastAsia" w:cs="宋体"/>
          <w:szCs w:val="21"/>
          <w:u w:val="single"/>
          <w:lang w:val="en-US" w:eastAsia="zh-CN"/>
        </w:rPr>
        <w:t>内</w:t>
      </w:r>
    </w:p>
    <w:p>
      <w:pPr>
        <w:pStyle w:val="35"/>
        <w:spacing w:before="143"/>
        <w:ind w:right="1430"/>
        <w:jc w:val="left"/>
        <w:rPr>
          <w:sz w:val="24"/>
          <w:lang w:val="en-US"/>
        </w:rPr>
      </w:pPr>
      <w:bookmarkStart w:id="19" w:name="_Toc3714"/>
      <w:bookmarkStart w:id="20" w:name="_Toc525632587"/>
      <w:bookmarkStart w:id="21" w:name="_Toc1622_WPSOffice_Level2"/>
      <w:bookmarkStart w:id="22" w:name="_Toc6388"/>
      <w:bookmarkStart w:id="23" w:name="_Toc31673_WPSOffice_Level2"/>
      <w:bookmarkStart w:id="24" w:name="_Toc29516_WPSOffice_Level2"/>
      <w:bookmarkStart w:id="25" w:name="_Toc22379_WPSOffice_Level2"/>
      <w:r>
        <w:rPr>
          <w:rFonts w:hint="eastAsia"/>
          <w:sz w:val="24"/>
          <w:lang w:val="en-US"/>
        </w:rPr>
        <w:t>备注：</w:t>
      </w:r>
    </w:p>
    <w:p>
      <w:pPr>
        <w:spacing w:line="460" w:lineRule="exact"/>
        <w:ind w:firstLine="480" w:firstLineChars="200"/>
        <w:jc w:val="left"/>
        <w:rPr>
          <w:sz w:val="24"/>
        </w:rPr>
      </w:pPr>
      <w:r>
        <w:rPr>
          <w:rFonts w:hint="eastAsia"/>
          <w:sz w:val="24"/>
        </w:rPr>
        <w:t>此项目：供应商须报价需含车辆保险、车辆购置税、检测、排污、照相、上牌等所有费用，商业保险（含交强险、车损险（≥车价）、第三者责任险(100万元)、自燃险、人员险10万元/人×座位数、不计免赔特约、玻璃破碎险。上牌时,须按需方指定地点和方式执行,选择的牌号也须经需方认可。需方配合提供公司相关证明及在相关表格加盖公章等）。</w:t>
      </w:r>
    </w:p>
    <w:p>
      <w:pPr>
        <w:pStyle w:val="4"/>
        <w:numPr>
          <w:ilvl w:val="0"/>
          <w:numId w:val="0"/>
        </w:numPr>
        <w:snapToGrid w:val="0"/>
        <w:spacing w:before="120" w:after="120" w:line="560" w:lineRule="exact"/>
        <w:ind w:left="420"/>
        <w:rPr>
          <w:rFonts w:ascii="Times New Roman" w:hAnsi="Times New Roman" w:eastAsia="黑体" w:cs="Times New Roman"/>
          <w:bCs w:val="0"/>
          <w:sz w:val="22"/>
          <w:szCs w:val="15"/>
        </w:rPr>
      </w:pPr>
      <w:r>
        <w:rPr>
          <w:rFonts w:hint="eastAsia" w:ascii="Times New Roman" w:hAnsi="Times New Roman" w:cs="Times New Roman"/>
          <w:b w:val="0"/>
          <w:bCs w:val="0"/>
          <w:sz w:val="21"/>
          <w:szCs w:val="22"/>
        </w:rPr>
        <w:t>3.</w:t>
      </w:r>
      <w:r>
        <w:rPr>
          <w:rFonts w:hint="eastAsia" w:ascii="Calibri" w:hAnsi="Calibri" w:eastAsia="宋体" w:cs="Times New Roman"/>
          <w:szCs w:val="21"/>
        </w:rPr>
        <w:t xml:space="preserve"> </w:t>
      </w: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11"/>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pacing w:line="400" w:lineRule="exact"/>
        <w:ind w:firstLine="420" w:firstLineChars="200"/>
        <w:rPr>
          <w:rFonts w:ascii="Times New Roman" w:hAnsi="Times New Roman" w:cs="Times New Roman"/>
          <w:szCs w:val="22"/>
          <w:highlight w:val="green"/>
        </w:rPr>
      </w:pPr>
      <w:r>
        <w:rPr>
          <w:rFonts w:hint="eastAsia" w:ascii="Times New Roman" w:hAnsi="Times New Roman"/>
          <w:highlight w:val="green"/>
        </w:rPr>
        <w:t>投标人自2</w:t>
      </w:r>
      <w:r>
        <w:rPr>
          <w:rFonts w:ascii="Times New Roman" w:hAnsi="Times New Roman"/>
          <w:highlight w:val="green"/>
        </w:rPr>
        <w:t>02</w:t>
      </w:r>
      <w:r>
        <w:rPr>
          <w:rFonts w:hint="eastAsia" w:ascii="Times New Roman" w:hAnsi="Times New Roman"/>
          <w:highlight w:val="green"/>
          <w:lang w:val="en-US" w:eastAsia="zh-CN"/>
        </w:rPr>
        <w:t>1</w:t>
      </w:r>
      <w:r>
        <w:rPr>
          <w:rFonts w:hint="eastAsia" w:ascii="Times New Roman" w:hAnsi="Times New Roman"/>
          <w:highlight w:val="green"/>
        </w:rPr>
        <w:t>年1月1日（以合同签订时间为准）至今，具有</w:t>
      </w:r>
      <w:r>
        <w:rPr>
          <w:rFonts w:hint="eastAsia" w:ascii="Times New Roman" w:hAnsi="Times New Roman"/>
          <w:highlight w:val="green"/>
          <w:lang w:val="en-US" w:eastAsia="zh-CN"/>
        </w:rPr>
        <w:t>1台多功能除雪车或防撞缓冲车</w:t>
      </w:r>
      <w:r>
        <w:rPr>
          <w:rFonts w:hint="eastAsia" w:ascii="Times New Roman" w:hAnsi="Times New Roman"/>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3"/>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4751"/>
      <w:bookmarkStart w:id="27" w:name="_Toc2996_WPSOffice_Level2"/>
      <w:bookmarkStart w:id="28" w:name="_Toc1994"/>
      <w:bookmarkStart w:id="29" w:name="_Toc4109_WPSOffice_Level2"/>
      <w:bookmarkStart w:id="30" w:name="_Toc29452_WPSOffice_Level2"/>
      <w:bookmarkStart w:id="31" w:name="_Toc525632588"/>
      <w:bookmarkStart w:id="32" w:name="_Toc25666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highlight w:val="green"/>
        </w:rPr>
        <w:t>响应文件递交的截止时间为</w:t>
      </w:r>
      <w:r>
        <w:rPr>
          <w:rFonts w:hint="eastAsia" w:ascii="Times New Roman" w:hAnsi="Times New Roman" w:cs="Times New Roman"/>
          <w:szCs w:val="22"/>
          <w:highlight w:val="green"/>
          <w:u w:val="single"/>
        </w:rPr>
        <w:t>20</w:t>
      </w:r>
      <w:r>
        <w:rPr>
          <w:rFonts w:hint="eastAsia" w:ascii="Times New Roman" w:hAnsi="Times New Roman" w:cs="Times New Roman"/>
          <w:szCs w:val="22"/>
          <w:highlight w:val="green"/>
          <w:u w:val="single"/>
          <w:lang w:val="en-US" w:eastAsia="zh-CN"/>
        </w:rPr>
        <w:t>24</w:t>
      </w:r>
      <w:r>
        <w:rPr>
          <w:rFonts w:ascii="Times New Roman" w:hAnsi="Times New Roman" w:cs="Times New Roman"/>
          <w:szCs w:val="22"/>
          <w:highlight w:val="green"/>
        </w:rPr>
        <w:t>年</w:t>
      </w:r>
      <w:r>
        <w:rPr>
          <w:rFonts w:hint="eastAsia"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lang w:val="en-US" w:eastAsia="zh-CN"/>
        </w:rPr>
        <w:t>4</w:t>
      </w:r>
      <w:r>
        <w:rPr>
          <w:rFonts w:hint="eastAsia" w:ascii="Times New Roman" w:hAnsi="Times New Roman" w:cs="Times New Roman"/>
          <w:szCs w:val="22"/>
          <w:highlight w:val="green"/>
          <w:u w:val="single"/>
        </w:rPr>
        <w:t xml:space="preserve"> </w:t>
      </w:r>
      <w:r>
        <w:rPr>
          <w:rFonts w:ascii="Times New Roman" w:hAnsi="Times New Roman" w:cs="Times New Roman"/>
          <w:szCs w:val="22"/>
          <w:highlight w:val="green"/>
        </w:rPr>
        <w:t>月</w:t>
      </w:r>
      <w:r>
        <w:rPr>
          <w:rFonts w:hint="eastAsia" w:ascii="Times New Roman" w:hAnsi="Times New Roman" w:cs="Times New Roman"/>
          <w:szCs w:val="22"/>
          <w:highlight w:val="green"/>
          <w:u w:val="single"/>
        </w:rPr>
        <w:t xml:space="preserve"> </w:t>
      </w:r>
      <w:r>
        <w:rPr>
          <w:rFonts w:hint="eastAsia" w:ascii="Times New Roman" w:hAnsi="Times New Roman" w:cs="Times New Roman"/>
          <w:szCs w:val="22"/>
          <w:highlight w:val="green"/>
          <w:u w:val="single"/>
          <w:lang w:val="en-US" w:eastAsia="zh-CN"/>
        </w:rPr>
        <w:t>8</w:t>
      </w:r>
      <w:r>
        <w:rPr>
          <w:rFonts w:hint="eastAsia" w:ascii="Times New Roman" w:hAnsi="Times New Roman" w:cs="Times New Roman"/>
          <w:szCs w:val="22"/>
          <w:highlight w:val="green"/>
          <w:u w:val="single"/>
        </w:rPr>
        <w:t xml:space="preserve"> </w:t>
      </w:r>
      <w:r>
        <w:rPr>
          <w:rFonts w:ascii="Times New Roman" w:hAnsi="Times New Roman" w:cs="Times New Roman"/>
          <w:szCs w:val="22"/>
          <w:highlight w:val="green"/>
        </w:rPr>
        <w:t>日</w:t>
      </w:r>
      <w:r>
        <w:rPr>
          <w:rFonts w:hint="eastAsia" w:ascii="Times New Roman" w:hAnsi="Times New Roman" w:cs="Times New Roman"/>
          <w:szCs w:val="22"/>
          <w:highlight w:val="green"/>
          <w:u w:val="single"/>
        </w:rPr>
        <w:t xml:space="preserve"> 10 </w:t>
      </w:r>
      <w:r>
        <w:rPr>
          <w:rFonts w:ascii="Times New Roman" w:hAnsi="Times New Roman" w:cs="Times New Roman"/>
          <w:szCs w:val="22"/>
          <w:highlight w:val="green"/>
        </w:rPr>
        <w:t>时</w:t>
      </w:r>
      <w:r>
        <w:rPr>
          <w:rFonts w:hint="eastAsia" w:ascii="Times New Roman" w:hAnsi="Times New Roman" w:cs="Times New Roman"/>
          <w:szCs w:val="22"/>
          <w:highlight w:val="green"/>
          <w:u w:val="single"/>
        </w:rPr>
        <w:t>00</w:t>
      </w:r>
      <w:r>
        <w:rPr>
          <w:rFonts w:ascii="Times New Roman" w:hAnsi="Times New Roman" w:cs="Times New Roman"/>
          <w:szCs w:val="22"/>
          <w:highlight w:val="green"/>
        </w:rPr>
        <w:t>分，供应商的法定代表人或其授权代理人应于截止时间前将响应文件</w:t>
      </w:r>
      <w:r>
        <w:rPr>
          <w:rFonts w:hint="eastAsia" w:ascii="Times New Roman" w:hAnsi="Times New Roman" w:cs="Times New Roman"/>
          <w:szCs w:val="22"/>
          <w:highlight w:val="green"/>
        </w:rPr>
        <w:t>递交至</w:t>
      </w:r>
      <w:r>
        <w:rPr>
          <w:rFonts w:hint="eastAsia" w:ascii="Times New Roman" w:hAnsi="Times New Roman" w:cs="Times New Roman"/>
          <w:szCs w:val="22"/>
          <w:highlight w:val="green"/>
          <w:u w:val="single"/>
        </w:rPr>
        <w:t>合肥市胜利路35号，交通饭店三楼汽车销售有限公司</w:t>
      </w:r>
      <w:r>
        <w:rPr>
          <w:rFonts w:ascii="Times New Roman" w:hAnsi="Times New Roman" w:cs="Times New Roman"/>
          <w:szCs w:val="22"/>
          <w:highlight w:val="green"/>
        </w:rPr>
        <w:t>（地点）。</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22719"/>
      <w:bookmarkStart w:id="36" w:name="_Toc525632591"/>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pStyle w:val="2"/>
        <w:ind w:firstLine="420" w:firstLineChars="200"/>
        <w:rPr>
          <w:rFonts w:ascii="Times New Roman" w:hAnsi="Times New Roman"/>
          <w:highlight w:val="green"/>
        </w:rPr>
      </w:pPr>
      <w:r>
        <w:rPr>
          <w:rFonts w:hint="eastAsia" w:ascii="Times New Roman" w:hAnsi="Times New Roman"/>
          <w:highlight w:val="green"/>
        </w:rPr>
        <w:t>本项目无响应保证金，需发响应报名表进行报名。</w:t>
      </w:r>
    </w:p>
    <w:p>
      <w:pPr>
        <w:snapToGrid w:val="0"/>
        <w:spacing w:line="560" w:lineRule="exact"/>
        <w:ind w:firstLine="420" w:firstLineChars="200"/>
        <w:rPr>
          <w:rFonts w:ascii="Times New Roman" w:hAnsi="Times New Roman"/>
          <w:highlight w:val="green"/>
        </w:rPr>
      </w:pPr>
      <w:r>
        <w:rPr>
          <w:rFonts w:hint="eastAsia" w:ascii="Times New Roman" w:hAnsi="Times New Roman"/>
          <w:highlight w:val="green"/>
        </w:rPr>
        <w:t>在202</w:t>
      </w:r>
      <w:r>
        <w:rPr>
          <w:rFonts w:hint="eastAsia" w:ascii="Times New Roman" w:hAnsi="Times New Roman"/>
          <w:highlight w:val="green"/>
          <w:lang w:val="en-US" w:eastAsia="zh-CN"/>
        </w:rPr>
        <w:t>4</w:t>
      </w:r>
      <w:r>
        <w:rPr>
          <w:rFonts w:hint="eastAsia" w:ascii="Times New Roman" w:hAnsi="Times New Roman"/>
          <w:highlight w:val="green"/>
        </w:rPr>
        <w:t xml:space="preserve">年 </w:t>
      </w:r>
      <w:r>
        <w:rPr>
          <w:rFonts w:hint="eastAsia" w:ascii="Times New Roman" w:hAnsi="Times New Roman"/>
          <w:highlight w:val="green"/>
          <w:lang w:val="en-US" w:eastAsia="zh-CN"/>
        </w:rPr>
        <w:t>4</w:t>
      </w:r>
      <w:r>
        <w:rPr>
          <w:rFonts w:hint="eastAsia" w:ascii="Times New Roman" w:hAnsi="Times New Roman"/>
          <w:highlight w:val="green"/>
        </w:rPr>
        <w:t>月</w:t>
      </w:r>
      <w:r>
        <w:rPr>
          <w:rFonts w:hint="eastAsia" w:ascii="Times New Roman" w:hAnsi="Times New Roman"/>
          <w:highlight w:val="green"/>
          <w:lang w:val="en-US" w:eastAsia="zh-CN"/>
        </w:rPr>
        <w:t>7</w:t>
      </w:r>
      <w:r>
        <w:rPr>
          <w:rFonts w:hint="eastAsia" w:ascii="Times New Roman" w:hAnsi="Times New Roman"/>
          <w:highlight w:val="green"/>
        </w:rPr>
        <w:t>日 15 ：00前，将响应报名表发送至</w:t>
      </w:r>
      <w:r>
        <w:fldChar w:fldCharType="begin"/>
      </w:r>
      <w:r>
        <w:instrText xml:space="preserve"> HYPERLINK "mailto:ahjyxs@163.com" </w:instrText>
      </w:r>
      <w:r>
        <w:fldChar w:fldCharType="separate"/>
      </w:r>
      <w:r>
        <w:rPr>
          <w:rStyle w:val="20"/>
          <w:rFonts w:hint="eastAsia" w:ascii="Times New Roman" w:hAnsi="Times New Roman" w:cs="Times New Roman"/>
          <w:szCs w:val="22"/>
          <w:highlight w:val="green"/>
        </w:rPr>
        <w:t>ahjyxs@163.com</w:t>
      </w:r>
      <w:r>
        <w:rPr>
          <w:rStyle w:val="20"/>
          <w:rFonts w:hint="eastAsia" w:ascii="Times New Roman" w:hAnsi="Times New Roman" w:cs="Times New Roman"/>
          <w:szCs w:val="22"/>
          <w:highlight w:val="green"/>
        </w:rPr>
        <w:fldChar w:fldCharType="end"/>
      </w:r>
      <w:r>
        <w:rPr>
          <w:rFonts w:hint="eastAsia" w:ascii="Times New Roman" w:hAnsi="Times New Roman" w:cs="Times New Roman"/>
          <w:szCs w:val="22"/>
          <w:highlight w:val="green"/>
        </w:rPr>
        <w:t>进行确认报名。</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8501"/>
      <w:bookmarkStart w:id="38" w:name="_Toc26829"/>
      <w:bookmarkStart w:id="39" w:name="_Toc20572_WPSOffice_Level2"/>
      <w:bookmarkStart w:id="40" w:name="_Toc321_WPSOffice_Level2"/>
      <w:bookmarkStart w:id="41" w:name="_Toc14943_WPSOffice_Level2"/>
      <w:bookmarkStart w:id="42" w:name="_Toc525632592"/>
      <w:bookmarkStart w:id="43" w:name="_Toc28571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0551-64299058   </w:t>
      </w:r>
    </w:p>
    <w:p>
      <w:pPr>
        <w:spacing w:line="560" w:lineRule="exact"/>
        <w:ind w:firstLine="420" w:firstLineChars="200"/>
        <w:rPr>
          <w:rStyle w:val="20"/>
          <w:rFonts w:hint="eastAsia" w:ascii="Times New Roman" w:hAnsi="Times New Roman" w:cs="Times New Roman"/>
          <w:szCs w:val="22"/>
        </w:rPr>
      </w:pPr>
      <w:r>
        <w:rPr>
          <w:rFonts w:ascii="Times New Roman" w:hAnsi="Times New Roman" w:cs="Times New Roman"/>
          <w:szCs w:val="22"/>
        </w:rPr>
        <w:t>电子邮箱：</w:t>
      </w:r>
      <w:r>
        <w:fldChar w:fldCharType="begin"/>
      </w:r>
      <w:r>
        <w:instrText xml:space="preserve"> HYPERLINK "mailto:ahjyxs@163.com" </w:instrText>
      </w:r>
      <w:r>
        <w:fldChar w:fldCharType="separate"/>
      </w:r>
      <w:r>
        <w:rPr>
          <w:rStyle w:val="20"/>
          <w:rFonts w:hint="eastAsia" w:ascii="Times New Roman" w:hAnsi="Times New Roman" w:cs="Times New Roman"/>
          <w:szCs w:val="22"/>
        </w:rPr>
        <w:t>ahjyxs@163.com</w:t>
      </w:r>
      <w:r>
        <w:rPr>
          <w:rStyle w:val="20"/>
          <w:rFonts w:hint="eastAsia" w:ascii="Times New Roman" w:hAnsi="Times New Roman" w:cs="Times New Roman"/>
          <w:szCs w:val="22"/>
        </w:rPr>
        <w:fldChar w:fldCharType="end"/>
      </w:r>
    </w:p>
    <w:p>
      <w:pPr>
        <w:rPr>
          <w:rStyle w:val="20"/>
          <w:rFonts w:hint="eastAsia" w:ascii="Times New Roman" w:hAnsi="Times New Roman" w:cs="Times New Roman"/>
          <w:szCs w:val="22"/>
        </w:rPr>
      </w:pPr>
    </w:p>
    <w:p>
      <w:pPr>
        <w:pStyle w:val="4"/>
        <w:numPr>
          <w:ilvl w:val="0"/>
          <w:numId w:val="0"/>
        </w:numPr>
        <w:ind w:left="417" w:leftChars="0"/>
      </w:pPr>
    </w:p>
    <w:p>
      <w:pPr>
        <w:pStyle w:val="22"/>
        <w:ind w:right="315"/>
        <w:jc w:val="right"/>
        <w:rPr>
          <w:rFonts w:hint="default" w:ascii="Times New Roman" w:hAnsi="Times New Roman"/>
          <w:color w:val="auto"/>
          <w:szCs w:val="28"/>
        </w:rPr>
      </w:pPr>
      <w:r>
        <w:rPr>
          <w:rFonts w:ascii="Times New Roman" w:hAnsi="Times New Roman"/>
          <w:color w:val="auto"/>
          <w:sz w:val="21"/>
          <w:szCs w:val="22"/>
        </w:rPr>
        <w:t xml:space="preserve"> 202</w:t>
      </w:r>
      <w:r>
        <w:rPr>
          <w:rFonts w:hint="eastAsia" w:ascii="Times New Roman" w:hAnsi="Times New Roman"/>
          <w:color w:val="auto"/>
          <w:sz w:val="21"/>
          <w:szCs w:val="22"/>
          <w:lang w:val="en-US" w:eastAsia="zh-CN"/>
        </w:rPr>
        <w:t>4</w:t>
      </w:r>
      <w:r>
        <w:rPr>
          <w:rFonts w:ascii="Times New Roman" w:hAnsi="Times New Roman"/>
          <w:color w:val="auto"/>
          <w:sz w:val="21"/>
          <w:szCs w:val="22"/>
        </w:rPr>
        <w:t xml:space="preserve"> </w:t>
      </w:r>
      <w:r>
        <w:rPr>
          <w:rFonts w:hint="default" w:ascii="Times New Roman" w:hAnsi="Times New Roman"/>
          <w:color w:val="auto"/>
          <w:sz w:val="21"/>
          <w:szCs w:val="22"/>
        </w:rPr>
        <w:t>年</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3</w:t>
      </w:r>
      <w:r>
        <w:rPr>
          <w:rFonts w:ascii="Times New Roman" w:hAnsi="Times New Roman"/>
          <w:color w:val="auto"/>
          <w:sz w:val="21"/>
          <w:szCs w:val="22"/>
        </w:rPr>
        <w:t xml:space="preserve"> </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29</w:t>
      </w:r>
      <w:r>
        <w:rPr>
          <w:rFonts w:ascii="Times New Roman" w:hAnsi="Times New Roman"/>
          <w:color w:val="auto"/>
          <w:sz w:val="21"/>
          <w:szCs w:val="22"/>
        </w:rPr>
        <w:t xml:space="preserve"> </w:t>
      </w:r>
      <w:r>
        <w:rPr>
          <w:rFonts w:hint="default" w:ascii="Times New Roman" w:hAnsi="Times New Roman"/>
          <w:color w:val="auto"/>
          <w:sz w:val="21"/>
          <w:szCs w:val="22"/>
        </w:rPr>
        <w:t>日</w:t>
      </w:r>
    </w:p>
    <w:p>
      <w:pPr>
        <w:spacing w:line="360" w:lineRule="auto"/>
        <w:rPr>
          <w:b/>
          <w:sz w:val="36"/>
          <w:szCs w:val="36"/>
        </w:rPr>
      </w:pPr>
    </w:p>
    <w:p>
      <w:pPr>
        <w:widowControl/>
        <w:jc w:val="left"/>
        <w:rPr>
          <w:b/>
          <w:sz w:val="36"/>
          <w:szCs w:val="36"/>
        </w:rPr>
      </w:pPr>
      <w:r>
        <w:rPr>
          <w:b/>
          <w:sz w:val="36"/>
          <w:szCs w:val="36"/>
        </w:rPr>
        <w:br w:type="page"/>
      </w:r>
    </w:p>
    <w:p>
      <w:pPr>
        <w:spacing w:line="360" w:lineRule="auto"/>
        <w:jc w:val="center"/>
        <w:rPr>
          <w:b/>
          <w:sz w:val="36"/>
          <w:szCs w:val="36"/>
        </w:rPr>
      </w:pPr>
      <w:r>
        <w:rPr>
          <w:rFonts w:hint="eastAsia"/>
          <w:b/>
          <w:sz w:val="36"/>
          <w:szCs w:val="36"/>
        </w:rPr>
        <w:t>响 应 报 名 表</w:t>
      </w:r>
    </w:p>
    <w:p>
      <w:pPr>
        <w:pStyle w:val="2"/>
      </w:pPr>
    </w:p>
    <w:p>
      <w:pPr>
        <w:spacing w:line="360" w:lineRule="auto"/>
        <w:jc w:val="center"/>
        <w:rPr>
          <w:rFonts w:ascii="宋体" w:hAnsi="宋体" w:eastAsia="宋体" w:cs="宋体"/>
          <w:szCs w:val="21"/>
        </w:rPr>
      </w:pPr>
      <w:r>
        <w:rPr>
          <w:rFonts w:hint="eastAsia" w:ascii="宋体" w:hAnsi="宋体" w:eastAsia="宋体" w:cs="宋体"/>
          <w:szCs w:val="21"/>
        </w:rPr>
        <w:t>报名日期：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              评审时间：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tbl>
      <w:tblPr>
        <w:tblStyle w:val="14"/>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608"/>
        <w:gridCol w:w="3396"/>
        <w:gridCol w:w="1506"/>
        <w:gridCol w:w="3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项目名称</w:t>
            </w:r>
          </w:p>
        </w:tc>
        <w:tc>
          <w:tcPr>
            <w:tcW w:w="8259" w:type="dxa"/>
            <w:gridSpan w:val="3"/>
            <w:vAlign w:val="center"/>
          </w:tcPr>
          <w:p>
            <w:pPr>
              <w:snapToGrid w:val="0"/>
              <w:spacing w:line="380" w:lineRule="exact"/>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供应商名称</w:t>
            </w:r>
          </w:p>
          <w:p>
            <w:pPr>
              <w:spacing w:line="360" w:lineRule="exact"/>
              <w:jc w:val="center"/>
              <w:rPr>
                <w:rFonts w:ascii="宋体" w:hAnsi="宋体" w:eastAsia="宋体" w:cs="宋体"/>
                <w:bCs/>
                <w:szCs w:val="21"/>
              </w:rPr>
            </w:pPr>
            <w:r>
              <w:rPr>
                <w:rFonts w:hint="eastAsia" w:ascii="宋体" w:hAnsi="宋体" w:eastAsia="宋体" w:cs="宋体"/>
                <w:bCs/>
                <w:szCs w:val="21"/>
              </w:rPr>
              <w:t>（与公章一致）</w:t>
            </w:r>
          </w:p>
        </w:tc>
        <w:tc>
          <w:tcPr>
            <w:tcW w:w="8259" w:type="dxa"/>
            <w:gridSpan w:val="3"/>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供应商地址</w:t>
            </w:r>
          </w:p>
        </w:tc>
        <w:tc>
          <w:tcPr>
            <w:tcW w:w="8259" w:type="dxa"/>
            <w:gridSpan w:val="3"/>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法定代表人</w:t>
            </w:r>
          </w:p>
        </w:tc>
        <w:tc>
          <w:tcPr>
            <w:tcW w:w="3396" w:type="dxa"/>
            <w:vAlign w:val="center"/>
          </w:tcPr>
          <w:p>
            <w:pPr>
              <w:spacing w:line="360" w:lineRule="exact"/>
              <w:rPr>
                <w:rFonts w:ascii="宋体" w:hAnsi="宋体" w:eastAsia="宋体" w:cs="宋体"/>
                <w:bCs/>
                <w:szCs w:val="21"/>
              </w:rPr>
            </w:pPr>
          </w:p>
        </w:tc>
        <w:tc>
          <w:tcPr>
            <w:tcW w:w="150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联系电话</w:t>
            </w:r>
          </w:p>
        </w:tc>
        <w:tc>
          <w:tcPr>
            <w:tcW w:w="3357" w:type="dxa"/>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投标负责人</w:t>
            </w:r>
          </w:p>
        </w:tc>
        <w:tc>
          <w:tcPr>
            <w:tcW w:w="3396" w:type="dxa"/>
            <w:vAlign w:val="center"/>
          </w:tcPr>
          <w:p>
            <w:pPr>
              <w:spacing w:line="360" w:lineRule="exact"/>
              <w:rPr>
                <w:rFonts w:ascii="宋体" w:hAnsi="宋体" w:eastAsia="宋体" w:cs="宋体"/>
                <w:bCs/>
                <w:szCs w:val="21"/>
              </w:rPr>
            </w:pPr>
          </w:p>
        </w:tc>
        <w:tc>
          <w:tcPr>
            <w:tcW w:w="150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投标负责人</w:t>
            </w:r>
          </w:p>
          <w:p>
            <w:pPr>
              <w:spacing w:line="360" w:lineRule="exact"/>
              <w:jc w:val="center"/>
              <w:rPr>
                <w:rFonts w:ascii="宋体" w:hAnsi="宋体" w:eastAsia="宋体" w:cs="宋体"/>
                <w:bCs/>
                <w:szCs w:val="21"/>
              </w:rPr>
            </w:pPr>
            <w:r>
              <w:rPr>
                <w:rFonts w:hint="eastAsia" w:ascii="宋体" w:hAnsi="宋体" w:eastAsia="宋体" w:cs="宋体"/>
                <w:bCs/>
                <w:szCs w:val="21"/>
              </w:rPr>
              <w:t>手机号</w:t>
            </w:r>
          </w:p>
        </w:tc>
        <w:tc>
          <w:tcPr>
            <w:tcW w:w="3357" w:type="dxa"/>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电子邮箱</w:t>
            </w:r>
          </w:p>
        </w:tc>
        <w:tc>
          <w:tcPr>
            <w:tcW w:w="3396" w:type="dxa"/>
            <w:vAlign w:val="center"/>
          </w:tcPr>
          <w:p>
            <w:pPr>
              <w:spacing w:line="360" w:lineRule="exact"/>
              <w:rPr>
                <w:rFonts w:ascii="宋体" w:hAnsi="宋体" w:eastAsia="宋体" w:cs="宋体"/>
                <w:bCs/>
                <w:szCs w:val="21"/>
              </w:rPr>
            </w:pPr>
          </w:p>
        </w:tc>
        <w:tc>
          <w:tcPr>
            <w:tcW w:w="150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公司传真</w:t>
            </w:r>
          </w:p>
        </w:tc>
        <w:tc>
          <w:tcPr>
            <w:tcW w:w="3357" w:type="dxa"/>
            <w:vAlign w:val="center"/>
          </w:tcPr>
          <w:p>
            <w:pPr>
              <w:spacing w:line="360" w:lineRule="exact"/>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350" w:type="dxa"/>
            <w:gridSpan w:val="3"/>
            <w:vAlign w:val="center"/>
          </w:tcPr>
          <w:p>
            <w:pPr>
              <w:spacing w:line="360" w:lineRule="exact"/>
              <w:rPr>
                <w:rFonts w:ascii="宋体" w:hAnsi="宋体" w:eastAsia="宋体" w:cs="宋体"/>
                <w:bCs/>
                <w:szCs w:val="21"/>
              </w:rPr>
            </w:pPr>
            <w:r>
              <w:rPr>
                <w:rFonts w:hint="eastAsia" w:ascii="宋体" w:hAnsi="宋体" w:eastAsia="宋体" w:cs="宋体"/>
                <w:bCs/>
                <w:szCs w:val="21"/>
              </w:rPr>
              <w:t>是否符合本项目的资质要求</w:t>
            </w:r>
          </w:p>
          <w:p>
            <w:pPr>
              <w:spacing w:line="360" w:lineRule="exact"/>
              <w:rPr>
                <w:rFonts w:ascii="宋体" w:hAnsi="宋体" w:eastAsia="宋体" w:cs="宋体"/>
                <w:bCs/>
                <w:szCs w:val="21"/>
              </w:rPr>
            </w:pPr>
            <w:r>
              <w:rPr>
                <w:rFonts w:hint="eastAsia" w:ascii="宋体" w:hAnsi="宋体" w:eastAsia="宋体" w:cs="宋体"/>
                <w:bCs/>
                <w:szCs w:val="21"/>
              </w:rPr>
              <w:t>注：填写“是”或“否”。</w:t>
            </w:r>
          </w:p>
        </w:tc>
        <w:tc>
          <w:tcPr>
            <w:tcW w:w="4863" w:type="dxa"/>
            <w:gridSpan w:val="2"/>
            <w:vAlign w:val="center"/>
          </w:tcPr>
          <w:p>
            <w:pPr>
              <w:spacing w:line="360" w:lineRule="exact"/>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350" w:type="dxa"/>
            <w:gridSpan w:val="3"/>
            <w:vAlign w:val="center"/>
          </w:tcPr>
          <w:p>
            <w:pPr>
              <w:spacing w:line="360" w:lineRule="exact"/>
              <w:rPr>
                <w:rFonts w:ascii="宋体" w:hAnsi="宋体" w:eastAsia="宋体" w:cs="宋体"/>
                <w:bCs/>
                <w:szCs w:val="21"/>
              </w:rPr>
            </w:pPr>
            <w:r>
              <w:rPr>
                <w:rFonts w:hint="eastAsia" w:ascii="宋体" w:hAnsi="宋体" w:eastAsia="宋体" w:cs="宋体"/>
                <w:bCs/>
                <w:szCs w:val="21"/>
              </w:rPr>
              <w:t>供应商参与包组情况</w:t>
            </w:r>
          </w:p>
          <w:p>
            <w:pPr>
              <w:spacing w:line="360" w:lineRule="exact"/>
              <w:rPr>
                <w:rFonts w:ascii="宋体" w:hAnsi="宋体" w:eastAsia="宋体" w:cs="宋体"/>
                <w:bCs/>
                <w:szCs w:val="21"/>
              </w:rPr>
            </w:pPr>
            <w:r>
              <w:rPr>
                <w:rFonts w:hint="eastAsia" w:ascii="宋体" w:hAnsi="宋体" w:eastAsia="宋体" w:cs="宋体"/>
                <w:bCs/>
                <w:szCs w:val="21"/>
              </w:rPr>
              <w:t>注：根据招标文件包号填写。</w:t>
            </w:r>
          </w:p>
        </w:tc>
        <w:tc>
          <w:tcPr>
            <w:tcW w:w="4863" w:type="dxa"/>
            <w:gridSpan w:val="2"/>
            <w:vAlign w:val="center"/>
          </w:tcPr>
          <w:p>
            <w:pPr>
              <w:spacing w:line="360" w:lineRule="exact"/>
              <w:jc w:val="center"/>
              <w:rPr>
                <w:rFonts w:ascii="宋体" w:hAnsi="宋体" w:eastAsia="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346" w:type="dxa"/>
            <w:vAlign w:val="center"/>
          </w:tcPr>
          <w:p>
            <w:pPr>
              <w:spacing w:line="360" w:lineRule="exact"/>
              <w:jc w:val="center"/>
              <w:rPr>
                <w:rFonts w:ascii="宋体" w:hAnsi="宋体" w:eastAsia="宋体" w:cs="宋体"/>
                <w:bCs/>
                <w:szCs w:val="21"/>
              </w:rPr>
            </w:pPr>
            <w:r>
              <w:rPr>
                <w:rFonts w:hint="eastAsia" w:ascii="宋体" w:hAnsi="宋体" w:eastAsia="宋体" w:cs="宋体"/>
                <w:bCs/>
                <w:szCs w:val="21"/>
              </w:rPr>
              <w:t>备注</w:t>
            </w:r>
          </w:p>
        </w:tc>
        <w:tc>
          <w:tcPr>
            <w:tcW w:w="8867" w:type="dxa"/>
            <w:gridSpan w:val="4"/>
            <w:vAlign w:val="center"/>
          </w:tcPr>
          <w:p>
            <w:pPr>
              <w:spacing w:line="360" w:lineRule="exact"/>
              <w:jc w:val="left"/>
              <w:rPr>
                <w:rFonts w:ascii="宋体" w:hAnsi="宋体" w:eastAsia="宋体" w:cs="宋体"/>
                <w:bCs/>
                <w:szCs w:val="21"/>
              </w:rPr>
            </w:pPr>
            <w:r>
              <w:rPr>
                <w:rFonts w:hint="eastAsia" w:ascii="宋体" w:hAnsi="宋体" w:eastAsia="宋体" w:cs="宋体"/>
                <w:bCs/>
                <w:szCs w:val="21"/>
              </w:rPr>
              <w:t>1、所有获取文件的供应商，若有意参投本项目，须同时提供以下资料并发送至邮箱</w:t>
            </w:r>
            <w:r>
              <w:fldChar w:fldCharType="begin"/>
            </w:r>
            <w:r>
              <w:instrText xml:space="preserve"> HYPERLINK "mailto:ahjyxs@163.com" </w:instrText>
            </w:r>
            <w:r>
              <w:fldChar w:fldCharType="separate"/>
            </w:r>
            <w:r>
              <w:rPr>
                <w:rStyle w:val="20"/>
                <w:rFonts w:hint="eastAsia" w:ascii="宋体" w:hAnsi="宋体" w:eastAsia="宋体" w:cs="宋体"/>
                <w:szCs w:val="21"/>
                <w:highlight w:val="green"/>
              </w:rPr>
              <w:t>ahjyxs@163.com</w:t>
            </w:r>
            <w:r>
              <w:rPr>
                <w:rStyle w:val="20"/>
                <w:rFonts w:hint="eastAsia" w:ascii="宋体" w:hAnsi="宋体" w:eastAsia="宋体" w:cs="宋体"/>
                <w:szCs w:val="21"/>
                <w:highlight w:val="green"/>
              </w:rPr>
              <w:fldChar w:fldCharType="end"/>
            </w:r>
            <w:r>
              <w:rPr>
                <w:rFonts w:hint="eastAsia" w:ascii="宋体" w:hAnsi="宋体" w:eastAsia="宋体" w:cs="宋体"/>
                <w:bCs/>
                <w:szCs w:val="21"/>
              </w:rPr>
              <w:t>：</w:t>
            </w:r>
          </w:p>
          <w:p>
            <w:pPr>
              <w:spacing w:line="360" w:lineRule="exact"/>
              <w:jc w:val="left"/>
              <w:rPr>
                <w:rFonts w:ascii="宋体" w:hAnsi="宋体" w:eastAsia="宋体" w:cs="宋体"/>
                <w:bCs/>
                <w:szCs w:val="21"/>
              </w:rPr>
            </w:pPr>
            <w:r>
              <w:rPr>
                <w:rFonts w:hint="eastAsia" w:ascii="宋体" w:hAnsi="宋体" w:eastAsia="宋体" w:cs="宋体"/>
                <w:bCs/>
                <w:szCs w:val="21"/>
              </w:rPr>
              <w:t>①已填写完整的《响应报名表》；</w:t>
            </w:r>
          </w:p>
          <w:p>
            <w:pPr>
              <w:spacing w:line="360" w:lineRule="exact"/>
              <w:jc w:val="left"/>
              <w:rPr>
                <w:rFonts w:ascii="宋体" w:hAnsi="宋体" w:eastAsia="宋体" w:cs="宋体"/>
                <w:bCs/>
                <w:szCs w:val="21"/>
              </w:rPr>
            </w:pPr>
            <w:r>
              <w:rPr>
                <w:rFonts w:hint="eastAsia" w:ascii="宋体" w:hAnsi="宋体" w:eastAsia="宋体" w:cs="宋体"/>
                <w:bCs/>
                <w:szCs w:val="21"/>
              </w:rPr>
              <w:t>②营业执照复印件并加盖公章。</w:t>
            </w:r>
          </w:p>
          <w:p>
            <w:pPr>
              <w:numPr>
                <w:ilvl w:val="0"/>
                <w:numId w:val="3"/>
              </w:numPr>
              <w:spacing w:line="360" w:lineRule="exact"/>
              <w:jc w:val="left"/>
              <w:rPr>
                <w:rFonts w:ascii="宋体" w:hAnsi="宋体" w:eastAsia="宋体" w:cs="宋体"/>
                <w:bCs/>
                <w:szCs w:val="21"/>
              </w:rPr>
            </w:pPr>
            <w:r>
              <w:rPr>
                <w:rFonts w:hint="eastAsia" w:ascii="宋体" w:hAnsi="宋体" w:eastAsia="宋体" w:cs="宋体"/>
                <w:bCs/>
                <w:szCs w:val="21"/>
              </w:rPr>
              <w:t>报名单位须与投标单位名称一致，否则报名无效。</w:t>
            </w:r>
          </w:p>
          <w:p>
            <w:pPr>
              <w:numPr>
                <w:ilvl w:val="0"/>
                <w:numId w:val="3"/>
              </w:numPr>
              <w:spacing w:line="360" w:lineRule="exact"/>
              <w:jc w:val="left"/>
              <w:rPr>
                <w:rFonts w:ascii="宋体" w:hAnsi="宋体" w:eastAsia="宋体" w:cs="宋体"/>
                <w:bCs/>
                <w:szCs w:val="21"/>
              </w:rPr>
            </w:pPr>
            <w:r>
              <w:rPr>
                <w:rFonts w:hint="eastAsia" w:ascii="宋体" w:hAnsi="宋体" w:eastAsia="宋体" w:cs="宋体"/>
                <w:bCs/>
                <w:szCs w:val="21"/>
              </w:rPr>
              <w:t>报名单位须在询比文件要求的报名截止时间前报名（以招标人收到邮件时间为准），否则报名无效。</w:t>
            </w:r>
          </w:p>
          <w:p>
            <w:pPr>
              <w:pStyle w:val="2"/>
              <w:rPr>
                <w:rFonts w:ascii="宋体" w:hAnsi="宋体" w:eastAsia="宋体" w:cs="宋体"/>
                <w:szCs w:val="21"/>
              </w:rPr>
            </w:pPr>
            <w:r>
              <w:rPr>
                <w:rFonts w:hint="eastAsia" w:ascii="宋体" w:hAnsi="宋体" w:eastAsia="宋体" w:cs="宋体"/>
                <w:bCs/>
                <w:szCs w:val="21"/>
                <w:highlight w:val="green"/>
              </w:rPr>
              <w:t>4、报名人在提交响应报名表后</w:t>
            </w:r>
            <w:r>
              <w:rPr>
                <w:rFonts w:hint="eastAsia" w:ascii="宋体" w:hAnsi="宋体" w:eastAsia="宋体" w:cs="宋体"/>
                <w:szCs w:val="21"/>
                <w:highlight w:val="green"/>
              </w:rPr>
              <w:t>响应文件递交的截止时间前，如不能如期参加询比，需提前向我单位书面说明情况。如因未如期参加询比且未提前书面说明情况导致项目询比失败的，我单位将记录在案，达两次以上者将列入黑名单，并禁止参加我单位询比项目1年。</w:t>
            </w:r>
          </w:p>
        </w:tc>
      </w:tr>
    </w:tbl>
    <w:p>
      <w:pPr>
        <w:spacing w:line="560" w:lineRule="exact"/>
        <w:rPr>
          <w:rFonts w:ascii="宋体" w:hAnsi="宋体" w:eastAsia="宋体" w:cs="宋体"/>
          <w:sz w:val="24"/>
        </w:rPr>
      </w:pPr>
    </w:p>
    <w:p>
      <w:pPr>
        <w:pStyle w:val="22"/>
        <w:jc w:val="center"/>
        <w:rPr>
          <w:rFonts w:hint="default" w:ascii="Times New Roman" w:hAnsi="Times New Roman"/>
          <w:color w:val="auto"/>
          <w:sz w:val="21"/>
          <w:szCs w:val="22"/>
        </w:rPr>
      </w:pPr>
    </w:p>
    <w:p>
      <w:pPr>
        <w:pStyle w:val="22"/>
        <w:jc w:val="center"/>
        <w:rPr>
          <w:rFonts w:ascii="Times New Roman" w:hAnsi="Times New Roman"/>
          <w:color w:val="auto"/>
          <w:sz w:val="21"/>
          <w:szCs w:val="22"/>
        </w:rPr>
      </w:pPr>
      <w:r>
        <w:rPr>
          <w:rFonts w:ascii="Times New Roman" w:hAnsi="Times New Roman"/>
          <w:color w:val="auto"/>
          <w:sz w:val="21"/>
          <w:szCs w:val="22"/>
        </w:rPr>
        <w:t xml:space="preserve">                 </w:t>
      </w: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highlight w:val="none"/>
        </w:rPr>
      </w:pPr>
    </w:p>
    <w:p>
      <w:pPr>
        <w:widowControl/>
        <w:spacing w:line="300" w:lineRule="atLeast"/>
        <w:ind w:firstLine="480"/>
        <w:jc w:val="center"/>
        <w:rPr>
          <w:rFonts w:hint="eastAsia" w:ascii="宋体" w:hAnsi="宋体" w:eastAsia="宋体" w:cs="宋体"/>
          <w:b/>
          <w:bCs/>
          <w:color w:val="000000"/>
          <w:kern w:val="0"/>
          <w:sz w:val="24"/>
          <w:highlight w:val="none"/>
        </w:rPr>
      </w:pPr>
    </w:p>
    <w:p>
      <w:pPr>
        <w:widowControl/>
        <w:spacing w:line="300" w:lineRule="atLeast"/>
        <w:ind w:firstLine="480"/>
        <w:jc w:val="center"/>
        <w:rPr>
          <w:rFonts w:ascii="微软雅黑" w:hAnsi="微软雅黑" w:eastAsia="微软雅黑" w:cs="宋体"/>
          <w:color w:val="000000"/>
          <w:kern w:val="0"/>
          <w:sz w:val="24"/>
          <w:highlight w:val="none"/>
        </w:rPr>
      </w:pPr>
      <w:r>
        <w:rPr>
          <w:rFonts w:hint="eastAsia" w:ascii="宋体" w:hAnsi="宋体" w:eastAsia="宋体" w:cs="宋体"/>
          <w:b/>
          <w:bCs/>
          <w:color w:val="000000"/>
          <w:kern w:val="0"/>
          <w:sz w:val="24"/>
          <w:highlight w:val="none"/>
        </w:rPr>
        <w:t>投资参股的关联企业情况表（与响应报名表一并提交）</w:t>
      </w:r>
    </w:p>
    <w:tbl>
      <w:tblPr>
        <w:tblStyle w:val="14"/>
        <w:tblW w:w="10081" w:type="dxa"/>
        <w:jc w:val="center"/>
        <w:tblCellSpacing w:w="15" w:type="dxa"/>
        <w:tblLayout w:type="fixed"/>
        <w:tblCellMar>
          <w:top w:w="0" w:type="dxa"/>
          <w:left w:w="0" w:type="dxa"/>
          <w:bottom w:w="0" w:type="dxa"/>
          <w:right w:w="0" w:type="dxa"/>
        </w:tblCellMar>
      </w:tblPr>
      <w:tblGrid>
        <w:gridCol w:w="10081"/>
      </w:tblGrid>
      <w:tr>
        <w:tblPrEx>
          <w:tblCellMar>
            <w:top w:w="0" w:type="dxa"/>
            <w:left w:w="0" w:type="dxa"/>
            <w:bottom w:w="0" w:type="dxa"/>
            <w:right w:w="0" w:type="dxa"/>
          </w:tblCellMar>
        </w:tblPrEx>
        <w:trPr>
          <w:trHeight w:val="6925" w:hRule="atLeast"/>
          <w:tblCellSpacing w:w="15" w:type="dxa"/>
          <w:jc w:val="center"/>
        </w:trPr>
        <w:tc>
          <w:tcPr>
            <w:tcW w:w="10021"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tcPr>
          <w:p>
            <w:pPr>
              <w:widowControl/>
              <w:spacing w:line="480" w:lineRule="atLeast"/>
              <w:ind w:firstLine="480"/>
              <w:jc w:val="left"/>
              <w:rPr>
                <w:rFonts w:hint="eastAsia" w:ascii="微软雅黑" w:hAnsi="微软雅黑" w:eastAsia="微软雅黑" w:cs="宋体"/>
                <w:kern w:val="0"/>
                <w:sz w:val="24"/>
                <w:highlight w:val="none"/>
              </w:rPr>
            </w:pPr>
            <w:r>
              <w:rPr>
                <w:rFonts w:hint="eastAsia" w:ascii="宋体" w:hAnsi="宋体" w:eastAsia="宋体" w:cs="宋体"/>
                <w:kern w:val="0"/>
                <w:sz w:val="24"/>
                <w:highlight w:val="none"/>
              </w:rPr>
              <w:t> </w:t>
            </w:r>
          </w:p>
          <w:p>
            <w:pPr>
              <w:widowControl/>
              <w:spacing w:line="480" w:lineRule="atLeast"/>
              <w:ind w:firstLine="480"/>
              <w:jc w:val="left"/>
              <w:rPr>
                <w:rFonts w:hint="eastAsia" w:ascii="宋体" w:hAnsi="宋体" w:eastAsia="宋体" w:cs="宋体"/>
                <w:kern w:val="0"/>
                <w:sz w:val="24"/>
                <w:highlight w:val="none"/>
              </w:rPr>
            </w:pPr>
            <w:r>
              <w:rPr>
                <w:rFonts w:hint="eastAsia" w:ascii="宋体" w:hAnsi="宋体" w:eastAsia="宋体" w:cs="宋体"/>
                <w:kern w:val="0"/>
                <w:sz w:val="24"/>
                <w:highlight w:val="none"/>
              </w:rPr>
              <w:t>申请参加询比的企业应提供其投资参股的关联企业情况，包括以下内容：</w:t>
            </w:r>
          </w:p>
          <w:p>
            <w:pPr>
              <w:pStyle w:val="4"/>
              <w:numPr>
                <w:ilvl w:val="0"/>
                <w:numId w:val="0"/>
              </w:numPr>
              <w:ind w:left="417" w:leftChars="0"/>
              <w:rPr>
                <w:rFonts w:hint="eastAsia"/>
              </w:rPr>
            </w:pPr>
          </w:p>
          <w:p>
            <w:pPr>
              <w:pStyle w:val="37"/>
              <w:widowControl/>
              <w:numPr>
                <w:ilvl w:val="3"/>
                <w:numId w:val="1"/>
              </w:numPr>
              <w:spacing w:line="480" w:lineRule="atLeast"/>
              <w:ind w:firstLineChars="0"/>
              <w:jc w:val="left"/>
              <w:rPr>
                <w:rFonts w:ascii="宋体" w:hAnsi="宋体" w:eastAsia="宋体" w:cs="宋体"/>
                <w:kern w:val="0"/>
                <w:sz w:val="24"/>
                <w:highlight w:val="none"/>
              </w:rPr>
            </w:pPr>
            <w:r>
              <w:rPr>
                <w:rFonts w:hint="eastAsia" w:ascii="宋体" w:hAnsi="宋体" w:eastAsia="宋体" w:cs="宋体"/>
                <w:kern w:val="0"/>
                <w:sz w:val="24"/>
                <w:highlight w:val="none"/>
              </w:rPr>
              <w:t>与本单位负责人为同一人的其他单位名单；</w:t>
            </w:r>
          </w:p>
          <w:p>
            <w:pPr>
              <w:keepNext/>
              <w:keepLines/>
              <w:widowControl w:val="0"/>
              <w:numPr>
                <w:ilvl w:val="0"/>
                <w:numId w:val="0"/>
              </w:numPr>
              <w:spacing w:line="360" w:lineRule="auto"/>
              <w:ind w:left="402"/>
              <w:jc w:val="both"/>
              <w:outlineLvl w:val="1"/>
              <w:rPr>
                <w:rFonts w:hint="eastAsia" w:ascii="Arial" w:hAnsi="Arial" w:eastAsiaTheme="minorEastAsia" w:cstheme="minorBidi"/>
                <w:b/>
                <w:bCs/>
                <w:kern w:val="2"/>
                <w:sz w:val="28"/>
                <w:szCs w:val="32"/>
                <w:highlight w:val="none"/>
                <w:lang w:val="en-US" w:eastAsia="zh-CN" w:bidi="ar-SA"/>
              </w:rPr>
            </w:pPr>
          </w:p>
          <w:p>
            <w:pPr>
              <w:pStyle w:val="37"/>
              <w:widowControl/>
              <w:numPr>
                <w:ilvl w:val="3"/>
                <w:numId w:val="1"/>
              </w:numPr>
              <w:spacing w:line="480" w:lineRule="atLeast"/>
              <w:ind w:firstLineChars="0"/>
              <w:jc w:val="left"/>
              <w:rPr>
                <w:rFonts w:ascii="宋体" w:hAnsi="宋体" w:eastAsia="宋体" w:cs="宋体"/>
                <w:kern w:val="0"/>
                <w:sz w:val="24"/>
                <w:highlight w:val="none"/>
              </w:rPr>
            </w:pPr>
            <w:r>
              <w:rPr>
                <w:rFonts w:hint="eastAsia" w:ascii="宋体" w:hAnsi="宋体" w:eastAsia="宋体" w:cs="宋体"/>
                <w:kern w:val="0"/>
                <w:sz w:val="24"/>
                <w:highlight w:val="none"/>
              </w:rPr>
              <w:t>对本单位存在控股、管理关系的其他单位名单；</w:t>
            </w:r>
          </w:p>
          <w:p>
            <w:pPr>
              <w:pStyle w:val="37"/>
              <w:rPr>
                <w:rFonts w:hint="eastAsia"/>
                <w:highlight w:val="none"/>
              </w:rPr>
            </w:pPr>
          </w:p>
          <w:p>
            <w:pPr>
              <w:rPr>
                <w:rFonts w:hint="eastAsia"/>
                <w:highlight w:val="none"/>
              </w:rPr>
            </w:pPr>
          </w:p>
          <w:p>
            <w:pPr>
              <w:pStyle w:val="37"/>
              <w:widowControl/>
              <w:numPr>
                <w:ilvl w:val="3"/>
                <w:numId w:val="1"/>
              </w:numPr>
              <w:spacing w:line="480" w:lineRule="atLeast"/>
              <w:ind w:firstLineChars="0"/>
              <w:jc w:val="left"/>
              <w:rPr>
                <w:rFonts w:ascii="宋体" w:hAnsi="宋体" w:eastAsia="宋体" w:cs="宋体"/>
                <w:kern w:val="0"/>
                <w:sz w:val="24"/>
                <w:highlight w:val="none"/>
              </w:rPr>
            </w:pPr>
            <w:r>
              <w:rPr>
                <w:rFonts w:hint="eastAsia" w:ascii="宋体" w:hAnsi="宋体" w:eastAsia="宋体" w:cs="宋体"/>
                <w:kern w:val="0"/>
                <w:sz w:val="24"/>
                <w:highlight w:val="none"/>
              </w:rPr>
              <w:t>本单位对其他单位存在控股、管理关系的名单；</w:t>
            </w:r>
          </w:p>
          <w:p>
            <w:pPr>
              <w:keepNext/>
              <w:keepLines/>
              <w:widowControl w:val="0"/>
              <w:numPr>
                <w:ilvl w:val="0"/>
                <w:numId w:val="0"/>
              </w:numPr>
              <w:spacing w:line="360" w:lineRule="auto"/>
              <w:ind w:left="402"/>
              <w:jc w:val="both"/>
              <w:outlineLvl w:val="1"/>
              <w:rPr>
                <w:rFonts w:hint="eastAsia" w:ascii="Arial" w:hAnsi="Arial" w:eastAsiaTheme="minorEastAsia" w:cstheme="minorBidi"/>
                <w:b/>
                <w:bCs/>
                <w:kern w:val="2"/>
                <w:sz w:val="28"/>
                <w:szCs w:val="32"/>
                <w:highlight w:val="none"/>
                <w:lang w:val="en-US" w:eastAsia="zh-CN" w:bidi="ar-SA"/>
              </w:rPr>
            </w:pPr>
          </w:p>
          <w:p>
            <w:pPr>
              <w:widowControl/>
              <w:spacing w:line="480" w:lineRule="atLeast"/>
              <w:ind w:firstLine="420"/>
              <w:jc w:val="left"/>
              <w:rPr>
                <w:rFonts w:hint="eastAsia" w:ascii="微软雅黑" w:hAnsi="微软雅黑" w:eastAsia="微软雅黑" w:cs="宋体"/>
                <w:kern w:val="0"/>
                <w:sz w:val="24"/>
                <w:highlight w:val="none"/>
              </w:rPr>
            </w:pPr>
            <w:r>
              <w:rPr>
                <w:rFonts w:hint="eastAsia" w:ascii="宋体" w:hAnsi="宋体" w:eastAsia="宋体" w:cs="宋体"/>
                <w:kern w:val="0"/>
                <w:sz w:val="24"/>
                <w:highlight w:val="none"/>
              </w:rPr>
              <w:t>                                                        </w:t>
            </w:r>
            <w:r>
              <w:rPr>
                <w:rFonts w:hint="eastAsia" w:ascii="宋体" w:hAnsi="宋体" w:eastAsia="宋体" w:cs="宋体"/>
                <w:kern w:val="0"/>
                <w:sz w:val="24"/>
                <w:highlight w:val="none"/>
                <w:lang w:val="en-US" w:eastAsia="zh-CN"/>
              </w:rPr>
              <w:t xml:space="preserve">                        </w:t>
            </w:r>
            <w:r>
              <w:rPr>
                <w:rFonts w:hint="eastAsia" w:ascii="宋体" w:hAnsi="宋体" w:eastAsia="宋体" w:cs="宋体"/>
                <w:kern w:val="0"/>
                <w:sz w:val="24"/>
                <w:highlight w:val="none"/>
              </w:rPr>
              <w:t>（单位盖章）</w:t>
            </w:r>
          </w:p>
        </w:tc>
      </w:tr>
    </w:tbl>
    <w:p>
      <w:pPr>
        <w:widowControl/>
        <w:ind w:firstLine="480"/>
        <w:jc w:val="left"/>
        <w:rPr>
          <w:rFonts w:hint="eastAsia" w:ascii="微软雅黑" w:hAnsi="微软雅黑" w:eastAsia="微软雅黑" w:cs="宋体"/>
          <w:color w:val="000000"/>
          <w:kern w:val="0"/>
          <w:sz w:val="24"/>
          <w:highlight w:val="none"/>
        </w:rPr>
      </w:pPr>
      <w:r>
        <w:rPr>
          <w:rFonts w:hint="eastAsia" w:ascii="宋体" w:hAnsi="宋体" w:eastAsia="宋体" w:cs="宋体"/>
          <w:color w:val="000000"/>
          <w:kern w:val="0"/>
          <w:sz w:val="24"/>
          <w:highlight w:val="none"/>
        </w:rPr>
        <w:t>注：供应商应如实填报此表，否则因其影响询比公正性的，其相关响应文件均无效。</w:t>
      </w:r>
    </w:p>
    <w:p>
      <w:pPr>
        <w:pStyle w:val="22"/>
        <w:jc w:val="center"/>
        <w:rPr>
          <w:rFonts w:ascii="Times New Roman" w:hAnsi="Times New Roman"/>
          <w:color w:val="auto"/>
          <w:sz w:val="21"/>
          <w:szCs w:val="22"/>
          <w:highlight w:val="none"/>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center"/>
        <w:rPr>
          <w:rFonts w:ascii="Times New Roman" w:hAnsi="Times New Roman"/>
          <w:color w:val="auto"/>
          <w:sz w:val="21"/>
          <w:szCs w:val="22"/>
        </w:rPr>
      </w:pPr>
    </w:p>
    <w:p>
      <w:pPr>
        <w:pStyle w:val="22"/>
        <w:jc w:val="both"/>
        <w:rPr>
          <w:rFonts w:ascii="Times New Roman" w:hAnsi="Times New Roman"/>
          <w:color w:val="auto"/>
          <w:sz w:val="21"/>
          <w:szCs w:val="22"/>
        </w:rPr>
      </w:pPr>
    </w:p>
    <w:p>
      <w:pPr>
        <w:pStyle w:val="22"/>
        <w:jc w:val="center"/>
        <w:rPr>
          <w:rFonts w:hint="default" w:ascii="Times New Roman" w:hAnsi="Times New Roman"/>
          <w:color w:val="auto"/>
          <w:szCs w:val="28"/>
        </w:rPr>
      </w:pPr>
      <w:r>
        <w:rPr>
          <w:rFonts w:ascii="Times New Roman" w:hAnsi="Times New Roman"/>
          <w:color w:val="auto"/>
          <w:sz w:val="21"/>
          <w:szCs w:val="22"/>
        </w:rPr>
        <w:t xml:space="preserve">                                    </w:t>
      </w: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第二章</w:t>
      </w:r>
      <w:r>
        <w:rPr>
          <w:rFonts w:ascii="Times New Roman" w:hAnsi="Times New Roman" w:eastAsia="宋体" w:cs="Times New Roman"/>
          <w:b/>
          <w:bCs/>
          <w:sz w:val="36"/>
          <w:szCs w:val="36"/>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，供应商应提供增值税发票13%</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26656960"/>
      <w:bookmarkStart w:id="45" w:name="_Toc14201229"/>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26656961"/>
      <w:bookmarkStart w:id="47" w:name="_Toc14201230"/>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26656963"/>
      <w:bookmarkStart w:id="49"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highlight w:val="green"/>
        </w:rPr>
      </w:pPr>
      <w:r>
        <w:rPr>
          <w:rFonts w:ascii="Times New Roman" w:hAnsi="Times New Roman" w:eastAsia="宋体" w:cs="Times New Roman"/>
          <w:highlight w:val="green"/>
        </w:rPr>
        <w:t>（3）</w:t>
      </w:r>
      <w:r>
        <w:rPr>
          <w:rFonts w:hint="eastAsia" w:ascii="Times New Roman" w:hAnsi="Times New Roman" w:eastAsia="宋体" w:cs="Times New Roman"/>
          <w:highlight w:val="green"/>
        </w:rPr>
        <w:t>响应文件</w:t>
      </w:r>
      <w:r>
        <w:rPr>
          <w:rFonts w:ascii="Times New Roman" w:hAnsi="Times New Roman" w:eastAsia="宋体" w:cs="Times New Roman"/>
          <w:highlight w:val="green"/>
        </w:rPr>
        <w:t>的正本与副本</w:t>
      </w:r>
      <w:r>
        <w:rPr>
          <w:rFonts w:hint="eastAsia" w:ascii="Times New Roman" w:hAnsi="Times New Roman" w:eastAsia="宋体" w:cs="Times New Roman"/>
          <w:highlight w:val="green"/>
        </w:rPr>
        <w:t>需胶装密封</w:t>
      </w:r>
      <w:r>
        <w:rPr>
          <w:rFonts w:ascii="Times New Roman" w:hAnsi="Times New Roman" w:eastAsia="宋体" w:cs="Times New Roman"/>
          <w:highlight w:val="green"/>
        </w:rPr>
        <w:t>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4</w:t>
      </w:r>
      <w:r>
        <w:rPr>
          <w:rFonts w:ascii="Times New Roman" w:hAnsi="Times New Roman" w:cs="Times New Roman"/>
        </w:rPr>
        <w:t>）</w:t>
      </w:r>
      <w:r>
        <w:rPr>
          <w:rFonts w:hint="eastAsia" w:ascii="Times New Roman" w:hAnsi="Times New Roman" w:cs="Times New Roman"/>
        </w:rPr>
        <w:t>供应商</w:t>
      </w:r>
      <w:r>
        <w:rPr>
          <w:rFonts w:ascii="Times New Roman" w:hAnsi="Times New Roman" w:cs="Times New Roman"/>
        </w:rPr>
        <w:t>代表、</w:t>
      </w:r>
      <w:r>
        <w:rPr>
          <w:rFonts w:hint="eastAsia" w:ascii="Times New Roman" w:hAnsi="Times New Roman" w:cs="Times New Roman"/>
        </w:rPr>
        <w:t>采购</w:t>
      </w:r>
      <w:r>
        <w:rPr>
          <w:rFonts w:ascii="Times New Roman" w:hAnsi="Times New Roman" w:cs="Times New Roman"/>
        </w:rPr>
        <w:t>人代表、记录人等有关人员在</w:t>
      </w:r>
      <w:r>
        <w:rPr>
          <w:rFonts w:hint="eastAsia" w:ascii="Times New Roman" w:hAnsi="Times New Roman" w:cs="Times New Roman"/>
        </w:rPr>
        <w:t>文件签到表签名</w:t>
      </w:r>
      <w:r>
        <w:rPr>
          <w:rFonts w:ascii="Times New Roman" w:hAnsi="Times New Roman" w:cs="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26656972"/>
      <w:bookmarkStart w:id="51" w:name="_Toc14201241"/>
      <w:bookmarkStart w:id="52" w:name="_Toc9067725"/>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14201242"/>
      <w:bookmarkStart w:id="54" w:name="_Toc26656973"/>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14201244"/>
      <w:bookmarkStart w:id="56" w:name="_Toc26656975"/>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14201245"/>
      <w:bookmarkStart w:id="58" w:name="_Toc26656976"/>
      <w:bookmarkStart w:id="59" w:name="_Toc906772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26656978"/>
      <w:bookmarkStart w:id="63" w:name="_Toc14201247"/>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26656979"/>
      <w:bookmarkStart w:id="65" w:name="_Toc14201248"/>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26656988"/>
      <w:bookmarkStart w:id="69" w:name="_Toc9067727"/>
      <w:bookmarkStart w:id="70" w:name="_Toc1420125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14201262"/>
      <w:bookmarkStart w:id="72"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26656994"/>
      <w:bookmarkStart w:id="74" w:name="_Toc9067731"/>
      <w:bookmarkStart w:id="75" w:name="_Toc14201263"/>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2"/>
        <w:jc w:val="right"/>
        <w:rPr>
          <w:rFonts w:hint="default" w:ascii="Times New Roman" w:hAnsi="Times New Roman"/>
          <w:color w:val="auto"/>
          <w:sz w:val="21"/>
          <w:szCs w:val="22"/>
        </w:rPr>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4"/>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4"/>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24</w:t>
            </w:r>
          </w:p>
        </w:tc>
        <w:tc>
          <w:tcPr>
            <w:tcW w:w="4668" w:type="dxa"/>
            <w:vAlign w:val="center"/>
          </w:tcPr>
          <w:p>
            <w:pPr>
              <w:spacing w:line="440" w:lineRule="exact"/>
              <w:jc w:val="left"/>
              <w:rPr>
                <w:rFonts w:ascii="Times New Roman" w:hAnsi="Times New Roman"/>
              </w:rPr>
            </w:pPr>
            <w:r>
              <w:rPr>
                <w:rFonts w:hint="eastAsia" w:ascii="Times New Roman" w:hAnsi="Times New Roman"/>
              </w:rPr>
              <w:t>设备技术性能指标中完全满足供货要求</w:t>
            </w:r>
            <w:r>
              <w:rPr>
                <w:rFonts w:hint="eastAsia" w:ascii="Times New Roman" w:hAnsi="Times New Roman"/>
                <w:lang w:val="en-US" w:eastAsia="zh-CN"/>
              </w:rPr>
              <w:t>的</w:t>
            </w:r>
            <w:r>
              <w:rPr>
                <w:rFonts w:hint="eastAsia" w:ascii="Times New Roman" w:hAnsi="Times New Roman"/>
              </w:rPr>
              <w:t>，得满分24分，技术参数每负偏离一条扣</w:t>
            </w:r>
            <w:r>
              <w:rPr>
                <w:rFonts w:hint="eastAsia" w:ascii="Times New Roman" w:hAnsi="Times New Roman"/>
                <w:lang w:val="en-US" w:eastAsia="zh-CN"/>
              </w:rPr>
              <w:t>2</w:t>
            </w:r>
            <w:r>
              <w:rPr>
                <w:rFonts w:hint="eastAsia" w:ascii="Times New Roman" w:hAnsi="Times New Roman"/>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4</w:t>
            </w:r>
          </w:p>
        </w:tc>
        <w:tc>
          <w:tcPr>
            <w:tcW w:w="4668" w:type="dxa"/>
            <w:vAlign w:val="center"/>
          </w:tcPr>
          <w:p>
            <w:pPr>
              <w:pStyle w:val="2"/>
            </w:pPr>
            <w:r>
              <w:rPr>
                <w:rFonts w:hint="eastAsia"/>
              </w:rPr>
              <w:t>满足资格业绩要求，得基本分1分。</w:t>
            </w:r>
          </w:p>
          <w:p>
            <w:pPr>
              <w:pStyle w:val="2"/>
            </w:pPr>
            <w:r>
              <w:rPr>
                <w:rFonts w:hint="eastAsia"/>
              </w:rPr>
              <w:t>除资格业绩外，投标人自202</w:t>
            </w:r>
            <w:r>
              <w:rPr>
                <w:rFonts w:hint="eastAsia"/>
                <w:lang w:val="en-US" w:eastAsia="zh-CN"/>
              </w:rPr>
              <w:t>1</w:t>
            </w:r>
            <w:r>
              <w:rPr>
                <w:rFonts w:hint="eastAsia"/>
              </w:rPr>
              <w:t>年1月1日（以合同签订时间为准）至今，每提供一</w:t>
            </w:r>
            <w:r>
              <w:rPr>
                <w:rFonts w:hint="eastAsia"/>
                <w:lang w:val="en-US" w:eastAsia="zh-CN"/>
              </w:rPr>
              <w:t>台</w:t>
            </w:r>
            <w:r>
              <w:rPr>
                <w:rFonts w:hint="eastAsia"/>
              </w:rPr>
              <w:t>除雪车</w:t>
            </w:r>
            <w:r>
              <w:rPr>
                <w:rFonts w:hint="eastAsia"/>
                <w:lang w:val="en-US" w:eastAsia="zh-CN"/>
              </w:rPr>
              <w:t>或防撞缓冲</w:t>
            </w:r>
            <w:r>
              <w:rPr>
                <w:rFonts w:hint="eastAsia"/>
              </w:rPr>
              <w:t>车供货业绩，加</w:t>
            </w:r>
            <w:r>
              <w:rPr>
                <w:rFonts w:hint="eastAsia"/>
                <w:lang w:val="en-US" w:eastAsia="zh-CN"/>
              </w:rPr>
              <w:t>0.5</w:t>
            </w:r>
            <w:r>
              <w:rPr>
                <w:rFonts w:hint="eastAsia"/>
              </w:rPr>
              <w:t>分，最多加3分。</w:t>
            </w:r>
          </w:p>
          <w:p>
            <w:pPr>
              <w:pStyle w:val="2"/>
            </w:pPr>
            <w:r>
              <w:rPr>
                <w:rFonts w:hint="eastAsia"/>
              </w:rPr>
              <w:t>评审依据：投标人或制造厂家提供合同原件（备查），并同时在投标文件中提供复印件，不得对合同数量和金额进行涂改，否则视为无效业绩，不提供不得分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1.所投品牌设备制造商企业</w:t>
            </w:r>
            <w:r>
              <w:rPr>
                <w:rFonts w:hint="eastAsia" w:ascii="Times New Roman" w:hAnsi="Times New Roman" w:eastAsia="宋体" w:cs="Times New Roman"/>
                <w:szCs w:val="21"/>
              </w:rPr>
              <w:t>获得质量管理体系认证证书的</w:t>
            </w:r>
            <w:r>
              <w:rPr>
                <w:rFonts w:ascii="Times New Roman" w:hAnsi="Times New Roman" w:eastAsia="宋体" w:cs="Times New Roman"/>
                <w:szCs w:val="21"/>
              </w:rPr>
              <w:t>得1分；2.所投品牌设备制造商企业</w:t>
            </w:r>
            <w:r>
              <w:rPr>
                <w:rFonts w:hint="eastAsia" w:ascii="Times New Roman" w:hAnsi="Times New Roman" w:eastAsia="宋体" w:cs="Times New Roman"/>
                <w:szCs w:val="21"/>
              </w:rPr>
              <w:t>获得环境管理体系认证证书</w:t>
            </w:r>
            <w:r>
              <w:rPr>
                <w:rFonts w:ascii="Times New Roman" w:hAnsi="Times New Roman" w:eastAsia="宋体" w:cs="Times New Roman"/>
                <w:szCs w:val="21"/>
              </w:rPr>
              <w:t>的得1分；3.</w:t>
            </w:r>
            <w:r>
              <w:rPr>
                <w:rFonts w:ascii="Calibri" w:hAnsi="Calibri" w:eastAsia="宋体" w:cs="Times New Roman"/>
              </w:rPr>
              <w:t>所投品牌设备制造商企业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w:t>
            </w:r>
          </w:p>
          <w:p>
            <w:pPr>
              <w:adjustRightInd w:val="0"/>
              <w:snapToGrid w:val="0"/>
              <w:spacing w:line="276" w:lineRule="auto"/>
              <w:rPr>
                <w:rFonts w:ascii="Times New Roman" w:hAnsi="Times New Roman" w:eastAsia="宋体" w:cs="Times New Roman"/>
                <w:szCs w:val="21"/>
              </w:rPr>
            </w:pPr>
            <w:r>
              <w:rPr>
                <w:rFonts w:hint="eastAsia" w:ascii="Times New Roman" w:hAnsi="Times New Roman" w:eastAsia="宋体" w:cs="Times New Roman"/>
                <w:szCs w:val="21"/>
              </w:rPr>
              <w:t>证书</w:t>
            </w:r>
            <w:r>
              <w:rPr>
                <w:rFonts w:ascii="Times New Roman" w:hAnsi="Times New Roman" w:eastAsia="宋体" w:cs="Times New Roman"/>
                <w:szCs w:val="21"/>
              </w:rPr>
              <w:t>的得1分；</w:t>
            </w:r>
            <w:r>
              <w:rPr>
                <w:rFonts w:hint="eastAsia" w:ascii="Times New Roman" w:hAnsi="Times New Roman" w:eastAsia="宋体" w:cs="Times New Roman"/>
                <w:szCs w:val="21"/>
              </w:rPr>
              <w:t>以上提供证明文件复印件，原件备查。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9</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rPr>
              <w:t>4</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w:t>
            </w:r>
            <w:r>
              <w:rPr>
                <w:rFonts w:hint="eastAsia" w:ascii="Times New Roman" w:hAnsi="Times New Roman" w:eastAsia="宋体" w:cs="Times New Roman"/>
                <w:szCs w:val="21"/>
              </w:rPr>
              <w:t>，根据是否拥有完善的本地化售后服务体系，是否定期回访及时与客户协调解决反馈问题，技术人员跟踪服务水平及具体的服务措施酌情评分。优秀</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5</w:t>
            </w:r>
            <w:r>
              <w:rPr>
                <w:rFonts w:hint="eastAsia" w:ascii="Times New Roman" w:hAnsi="Times New Roman" w:eastAsia="宋体" w:cs="Times New Roman"/>
                <w:szCs w:val="21"/>
              </w:rPr>
              <w:t>分，一般0≤F≤</w:t>
            </w: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6"/>
            <w:vAlign w:val="center"/>
          </w:tcPr>
          <w:p>
            <w:pPr>
              <w:spacing w:line="360" w:lineRule="atLeast"/>
              <w:rPr>
                <w:rFonts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pStyle w:val="2"/>
              <w:rPr>
                <w:rFonts w:ascii="Times New Roman" w:hAnsi="Times New Roman" w:eastAsia="宋体" w:cs="Times New Roman"/>
                <w:szCs w:val="21"/>
              </w:rPr>
            </w:pPr>
            <w:r>
              <w:rPr>
                <w:rFonts w:hint="eastAsia" w:ascii="Times New Roman" w:hAnsi="Times New Roman" w:eastAsia="宋体" w:cs="Times New Roman"/>
                <w:szCs w:val="21"/>
                <w:highlight w:val="green"/>
              </w:rPr>
              <w:t>技术参数投标人投标时需提供中国汽车网公告查询页网上公告截图加盖投标产品生产单位公章，否则按负偏离处理；技术性能要求不得虚假响应，如虚假响应一经发现取消中标资格。公告参数页中不能体现的以投标产品国家级权威机构出具的检验报告或投标产品宣传彩页（须包含详细的技术参数）为准。有些参数公告里没有的可提供视频进行证明。</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jc w:val="center"/>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840" w:firstLineChars="1200"/>
        <w:jc w:val="both"/>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w:t>
      </w:r>
      <w:r>
        <w:rPr>
          <w:rFonts w:hint="eastAsia" w:ascii="Times New Roman" w:hAnsi="Times New Roman" w:cs="Times New Roman"/>
          <w:szCs w:val="21"/>
        </w:rPr>
        <w:t>甲乙双方就</w:t>
      </w:r>
      <w:r>
        <w:rPr>
          <w:rFonts w:ascii="Times New Roman" w:hAnsi="Times New Roman" w:cs="Times New Roman"/>
          <w:szCs w:val="21"/>
        </w:rPr>
        <w:t>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w:t>
      </w:r>
      <w:r>
        <w:rPr>
          <w:rFonts w:hint="eastAsia" w:ascii="Times New Roman" w:hAnsi="Times New Roman" w:cs="Times New Roman"/>
          <w:szCs w:val="21"/>
        </w:rPr>
        <w:t>要求</w:t>
      </w:r>
      <w:r>
        <w:rPr>
          <w:rFonts w:ascii="Times New Roman" w:hAnsi="Times New Roman" w:cs="Times New Roman"/>
          <w:szCs w:val="21"/>
        </w:rPr>
        <w:t>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5"/>
        <w:tblW w:w="9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789"/>
        <w:gridCol w:w="1636"/>
        <w:gridCol w:w="1500"/>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789"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636"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50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单价（元）</w:t>
            </w:r>
          </w:p>
        </w:tc>
        <w:tc>
          <w:tcPr>
            <w:tcW w:w="1704"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789" w:type="dxa"/>
            <w:vAlign w:val="center"/>
          </w:tcPr>
          <w:p>
            <w:pPr>
              <w:spacing w:before="100" w:beforeAutospacing="1" w:after="100" w:afterAutospacing="1" w:line="300" w:lineRule="exact"/>
              <w:jc w:val="center"/>
              <w:rPr>
                <w:rFonts w:cs="宋体"/>
                <w:szCs w:val="21"/>
              </w:rPr>
            </w:pPr>
          </w:p>
        </w:tc>
        <w:tc>
          <w:tcPr>
            <w:tcW w:w="1636" w:type="dxa"/>
            <w:vAlign w:val="center"/>
          </w:tcPr>
          <w:p>
            <w:pPr>
              <w:spacing w:before="100" w:beforeAutospacing="1" w:after="100" w:afterAutospacing="1" w:line="300" w:lineRule="exact"/>
              <w:jc w:val="center"/>
              <w:rPr>
                <w:rFonts w:cs="宋体"/>
                <w:szCs w:val="21"/>
              </w:rPr>
            </w:pPr>
          </w:p>
        </w:tc>
        <w:tc>
          <w:tcPr>
            <w:tcW w:w="1500" w:type="dxa"/>
            <w:vAlign w:val="center"/>
          </w:tcPr>
          <w:p>
            <w:pPr>
              <w:spacing w:line="360" w:lineRule="auto"/>
              <w:jc w:val="center"/>
              <w:rPr>
                <w:rFonts w:ascii="Times New Roman" w:hAnsi="Times New Roman" w:cs="Times New Roman"/>
                <w:szCs w:val="21"/>
              </w:rPr>
            </w:pPr>
          </w:p>
        </w:tc>
        <w:tc>
          <w:tcPr>
            <w:tcW w:w="1704"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789" w:type="dxa"/>
            <w:vAlign w:val="center"/>
          </w:tcPr>
          <w:p>
            <w:pPr>
              <w:spacing w:before="100" w:beforeAutospacing="1" w:after="100" w:afterAutospacing="1" w:line="300" w:lineRule="exact"/>
              <w:jc w:val="center"/>
              <w:rPr>
                <w:rFonts w:cs="宋体"/>
                <w:szCs w:val="21"/>
              </w:rPr>
            </w:pPr>
          </w:p>
        </w:tc>
        <w:tc>
          <w:tcPr>
            <w:tcW w:w="1636" w:type="dxa"/>
            <w:vAlign w:val="center"/>
          </w:tcPr>
          <w:p>
            <w:pPr>
              <w:spacing w:before="100" w:beforeAutospacing="1" w:after="100" w:afterAutospacing="1" w:line="300" w:lineRule="exact"/>
              <w:jc w:val="center"/>
              <w:rPr>
                <w:rFonts w:cs="宋体"/>
                <w:szCs w:val="21"/>
              </w:rPr>
            </w:pPr>
          </w:p>
        </w:tc>
        <w:tc>
          <w:tcPr>
            <w:tcW w:w="1500" w:type="dxa"/>
            <w:vAlign w:val="center"/>
          </w:tcPr>
          <w:p>
            <w:pPr>
              <w:spacing w:line="360" w:lineRule="auto"/>
              <w:jc w:val="center"/>
              <w:rPr>
                <w:rFonts w:ascii="Times New Roman" w:hAnsi="Times New Roman" w:cs="Times New Roman"/>
                <w:szCs w:val="21"/>
              </w:rPr>
            </w:pPr>
          </w:p>
        </w:tc>
        <w:tc>
          <w:tcPr>
            <w:tcW w:w="1704"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789" w:type="dxa"/>
            <w:vAlign w:val="center"/>
          </w:tcPr>
          <w:p>
            <w:pPr>
              <w:spacing w:before="100" w:beforeAutospacing="1" w:after="100" w:afterAutospacing="1" w:line="300" w:lineRule="exact"/>
              <w:jc w:val="center"/>
              <w:rPr>
                <w:rFonts w:cs="宋体"/>
                <w:szCs w:val="21"/>
              </w:rPr>
            </w:pPr>
          </w:p>
        </w:tc>
        <w:tc>
          <w:tcPr>
            <w:tcW w:w="1636" w:type="dxa"/>
            <w:vAlign w:val="center"/>
          </w:tcPr>
          <w:p>
            <w:pPr>
              <w:spacing w:before="100" w:beforeAutospacing="1" w:after="100" w:afterAutospacing="1" w:line="300" w:lineRule="exact"/>
              <w:jc w:val="center"/>
              <w:rPr>
                <w:rFonts w:cs="宋体"/>
                <w:szCs w:val="21"/>
              </w:rPr>
            </w:pPr>
          </w:p>
        </w:tc>
        <w:tc>
          <w:tcPr>
            <w:tcW w:w="1500" w:type="dxa"/>
            <w:vAlign w:val="center"/>
          </w:tcPr>
          <w:p>
            <w:pPr>
              <w:spacing w:line="360" w:lineRule="auto"/>
              <w:jc w:val="center"/>
              <w:rPr>
                <w:rFonts w:ascii="Times New Roman" w:hAnsi="Times New Roman" w:cs="Times New Roman"/>
                <w:szCs w:val="21"/>
              </w:rPr>
            </w:pPr>
          </w:p>
        </w:tc>
        <w:tc>
          <w:tcPr>
            <w:tcW w:w="1704"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789" w:type="dxa"/>
            <w:vAlign w:val="center"/>
          </w:tcPr>
          <w:p>
            <w:pPr>
              <w:spacing w:before="100" w:beforeAutospacing="1" w:after="100" w:afterAutospacing="1" w:line="300" w:lineRule="exact"/>
              <w:jc w:val="center"/>
              <w:rPr>
                <w:rFonts w:cs="宋体"/>
                <w:szCs w:val="21"/>
              </w:rPr>
            </w:pPr>
          </w:p>
        </w:tc>
        <w:tc>
          <w:tcPr>
            <w:tcW w:w="1636" w:type="dxa"/>
            <w:vAlign w:val="center"/>
          </w:tcPr>
          <w:p>
            <w:pPr>
              <w:spacing w:before="100" w:beforeAutospacing="1" w:after="100" w:afterAutospacing="1" w:line="300" w:lineRule="exact"/>
              <w:jc w:val="center"/>
              <w:rPr>
                <w:rFonts w:cs="宋体"/>
                <w:szCs w:val="21"/>
              </w:rPr>
            </w:pPr>
          </w:p>
        </w:tc>
        <w:tc>
          <w:tcPr>
            <w:tcW w:w="1500" w:type="dxa"/>
            <w:vAlign w:val="center"/>
          </w:tcPr>
          <w:p>
            <w:pPr>
              <w:spacing w:line="360" w:lineRule="auto"/>
              <w:jc w:val="center"/>
              <w:rPr>
                <w:rFonts w:ascii="Times New Roman" w:hAnsi="Times New Roman" w:cs="Times New Roman"/>
                <w:szCs w:val="21"/>
              </w:rPr>
            </w:pPr>
          </w:p>
        </w:tc>
        <w:tc>
          <w:tcPr>
            <w:tcW w:w="1704"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5"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不含税价： 万       增值税：    万</w:t>
            </w:r>
          </w:p>
        </w:tc>
        <w:tc>
          <w:tcPr>
            <w:tcW w:w="1704"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2</w:t>
      </w:r>
      <w:r>
        <w:rPr>
          <w:rFonts w:hint="eastAsia" w:ascii="Times New Roman" w:hAnsi="Times New Roman" w:cs="Times New Roman"/>
          <w:szCs w:val="21"/>
          <w:u w:val="single"/>
        </w:rPr>
        <w:t>年（</w:t>
      </w:r>
      <w:r>
        <w:rPr>
          <w:rFonts w:hint="eastAsia"/>
          <w:u w:val="single"/>
        </w:rPr>
        <w:t>自甲方验收合格货物之日起计算</w:t>
      </w:r>
      <w:r>
        <w:rPr>
          <w:rFonts w:hint="eastAsia" w:ascii="Times New Roman" w:hAnsi="Times New Roman" w:cs="Times New Roman"/>
          <w:szCs w:val="21"/>
          <w:u w:val="single"/>
        </w:rPr>
        <w:t xml:space="preserve">） </w:t>
      </w:r>
      <w:r>
        <w:rPr>
          <w:rFonts w:ascii="Times New Roman" w:hAnsi="Times New Roman" w:cs="Times New Roman"/>
          <w:szCs w:val="21"/>
          <w:u w:val="single"/>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ascii="宋体" w:hAnsi="宋体" w:eastAsia="宋体" w:cs="宋体"/>
          <w:kern w:val="0"/>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w:t>
      </w:r>
      <w:r>
        <w:rPr>
          <w:rFonts w:hint="eastAsia" w:asciiTheme="minorEastAsia" w:hAnsiTheme="minorEastAsia" w:cstheme="minorEastAsia"/>
          <w:szCs w:val="21"/>
          <w:lang w:val="en-US" w:eastAsia="zh-CN"/>
        </w:rPr>
        <w:t>30</w:t>
      </w:r>
      <w:r>
        <w:rPr>
          <w:rFonts w:hint="eastAsia" w:asciiTheme="minorEastAsia" w:hAnsiTheme="minorEastAsia" w:cstheme="minorEastAsia"/>
          <w:szCs w:val="21"/>
        </w:rPr>
        <w:t>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w:t>
      </w:r>
      <w:r>
        <w:rPr>
          <w:rFonts w:hint="eastAsia" w:ascii="宋体" w:hAnsi="宋体" w:eastAsia="宋体" w:cs="宋体"/>
          <w:kern w:val="0"/>
          <w:szCs w:val="21"/>
          <w:lang w:val="en-US" w:eastAsia="zh-CN"/>
        </w:rPr>
        <w:t>7</w:t>
      </w:r>
      <w:r>
        <w:rPr>
          <w:rFonts w:hint="eastAsia" w:ascii="宋体" w:hAnsi="宋体" w:eastAsia="宋体" w:cs="宋体"/>
          <w:kern w:val="0"/>
          <w:szCs w:val="21"/>
        </w:rPr>
        <w:t>%，余下</w:t>
      </w:r>
      <w:r>
        <w:rPr>
          <w:rFonts w:hint="eastAsia" w:ascii="宋体" w:hAnsi="宋体" w:eastAsia="宋体" w:cs="宋体"/>
          <w:kern w:val="0"/>
          <w:szCs w:val="21"/>
          <w:lang w:val="en-US" w:eastAsia="zh-CN"/>
        </w:rPr>
        <w:t>3</w:t>
      </w:r>
      <w:r>
        <w:rPr>
          <w:rFonts w:hint="eastAsia" w:ascii="宋体" w:hAnsi="宋体" w:eastAsia="宋体" w:cs="宋体"/>
          <w:kern w:val="0"/>
          <w:szCs w:val="21"/>
        </w:rPr>
        <w:t>%作为质保金。质保金期限（24 个月），质保期内如发生质量问题（非买方原因），乙方需及时负责返修，否则甲方有权委托其它单位维修，费用从质保金中扣除，在质保期满后（ 24个月）甲方将剩余的保留金无息退还给乙方。</w:t>
      </w:r>
    </w:p>
    <w:p>
      <w:pPr>
        <w:pStyle w:val="2"/>
      </w:pPr>
    </w:p>
    <w:p>
      <w:pPr>
        <w:pStyle w:val="6"/>
        <w:rPr>
          <w:rFonts w:asciiTheme="minorEastAsia" w:hAnsiTheme="minorEastAsia" w:cstheme="minorEastAsia"/>
          <w:szCs w:val="21"/>
        </w:rPr>
      </w:pPr>
      <w:r>
        <w:rPr>
          <w:rFonts w:hint="eastAsia" w:asciiTheme="minorEastAsia" w:hAnsiTheme="minorEastAsia" w:cstheme="minorEastAsia"/>
          <w:szCs w:val="21"/>
        </w:rPr>
        <w:t>6.2 收款账户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开户行：</w:t>
      </w:r>
    </w:p>
    <w:p>
      <w:pPr>
        <w:pStyle w:val="7"/>
        <w:rPr>
          <w:rFonts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r>
        <w:rPr>
          <w:rFonts w:hint="eastAsia" w:ascii="Times New Roman" w:hAnsi="Times New Roman" w:cs="Times New Roman"/>
          <w:szCs w:val="21"/>
        </w:rPr>
        <w:t>，</w:t>
      </w:r>
      <w:r>
        <w:rPr>
          <w:rFonts w:hint="eastAsia"/>
        </w:rPr>
        <w:t>乙方需全额退还货款且承担相应损失。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r>
        <w:rPr>
          <w:rFonts w:hint="eastAsia" w:ascii="Times New Roman" w:hAnsi="Times New Roman" w:cs="Times New Roman"/>
          <w:szCs w:val="21"/>
        </w:rPr>
        <w:t>，</w:t>
      </w:r>
      <w:r>
        <w:rPr>
          <w:rFonts w:hint="eastAsia"/>
        </w:rPr>
        <w:t>乙方需全额退还货款且承担相应损失。</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pStyle w:val="4"/>
        <w:numPr>
          <w:ilvl w:val="0"/>
          <w:numId w:val="0"/>
        </w:numPr>
        <w:ind w:left="417" w:leftChars="0"/>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3"/>
        <w:numPr>
          <w:ilvl w:val="0"/>
          <w:numId w:val="4"/>
        </w:numPr>
        <w:spacing w:before="312" w:after="312"/>
        <w:rPr>
          <w:rFonts w:ascii="Times New Roman" w:hAnsi="Times New Roman" w:eastAsia="宋体" w:cs="Times New Roman"/>
        </w:rPr>
      </w:pPr>
      <w:r>
        <w:rPr>
          <w:rFonts w:ascii="Times New Roman" w:hAnsi="Times New Roman" w:eastAsia="宋体" w:cs="Times New Roman"/>
        </w:rPr>
        <w:t>采购需求及清单</w:t>
      </w:r>
    </w:p>
    <w:tbl>
      <w:tblPr>
        <w:tblStyle w:val="14"/>
        <w:tblW w:w="9519" w:type="dxa"/>
        <w:tblInd w:w="12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8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99" w:type="dxa"/>
            <w:tcBorders>
              <w:top w:val="doub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一</w:t>
            </w:r>
          </w:p>
        </w:tc>
        <w:tc>
          <w:tcPr>
            <w:tcW w:w="8620" w:type="dxa"/>
            <w:tcBorders>
              <w:top w:val="doub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b/>
                <w:bCs/>
                <w:szCs w:val="21"/>
              </w:rPr>
            </w:pPr>
            <w:r>
              <w:rPr>
                <w:rFonts w:hint="eastAsia" w:ascii="宋体" w:hAnsi="宋体" w:eastAsia="宋体" w:cs="Times New Roman"/>
                <w:b/>
                <w:bCs/>
                <w:szCs w:val="21"/>
              </w:rPr>
              <w:t>多功能除雪车采购需求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用途: 本车辆用于高速公路畅通保障应急养护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数量：1辆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供货范围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整车，含雪铲（和扫雪滚刷可快速互换）和融雪剂撒布系统。除原来除雪车配置的除雪铲外，另外配置</w:t>
            </w:r>
            <w:r>
              <w:rPr>
                <w:rFonts w:hint="eastAsia" w:ascii="宋体" w:hAnsi="宋体" w:eastAsia="宋体" w:cs="Times New Roman"/>
                <w:szCs w:val="21"/>
                <w:lang w:val="en-US" w:eastAsia="zh-CN"/>
              </w:rPr>
              <w:t>三</w:t>
            </w:r>
            <w:r>
              <w:rPr>
                <w:rFonts w:hint="eastAsia" w:ascii="宋体" w:hAnsi="宋体" w:eastAsia="宋体" w:cs="Times New Roman"/>
                <w:szCs w:val="21"/>
              </w:rPr>
              <w:t>台除雪铲，外配车辆。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特种工具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运转2000小时备品备件及专用工具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上牌时,须按需方指定地点和方式执行,选择的牌号也须经需方认可。需方配合提供公司相关证明及在相关表格加盖公章等）。商业保险及上牌费（含交强险、车损险（≥车价）、第三者责任险(100万元)、自燃险、人员险10万元/人×座位数、不计免赔特约、玻璃破碎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技术数据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多功能除雪车性能及配置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5"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4.2.1</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用途：用于高速公路道桥面冬季除雪作业。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4.2.2</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提供3C认证和环保公告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4.2.3</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整车形式：车底盘前置推雪铲、后装融雪剂撒布系统。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4.2.4</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6×4自卸车底盘，货箱举升方式：中举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4.2.5</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总质量：≥25000kg，除雪车整备质量≥</w:t>
            </w:r>
            <w:r>
              <w:rPr>
                <w:rFonts w:ascii="宋体" w:hAnsi="宋体" w:eastAsia="宋体" w:cs="Times New Roman"/>
                <w:szCs w:val="21"/>
              </w:rPr>
              <w:t>189</w:t>
            </w:r>
            <w:r>
              <w:rPr>
                <w:rFonts w:hint="eastAsia" w:ascii="宋体" w:hAnsi="宋体" w:eastAsia="宋体" w:cs="Times New Roman"/>
                <w:szCs w:val="21"/>
              </w:rPr>
              <w:t>00kg</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4.2.6</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发动机功率（不低于</w:t>
            </w:r>
            <w:r>
              <w:rPr>
                <w:rFonts w:hint="eastAsia" w:ascii="宋体" w:hAnsi="宋体" w:eastAsia="宋体" w:cs="Times New Roman"/>
                <w:szCs w:val="21"/>
                <w:lang w:val="en-US" w:eastAsia="zh-CN"/>
              </w:rPr>
              <w:t>重汽、</w:t>
            </w:r>
            <w:r>
              <w:rPr>
                <w:rFonts w:hint="eastAsia" w:ascii="宋体" w:hAnsi="宋体" w:eastAsia="宋体" w:cs="Times New Roman"/>
                <w:szCs w:val="21"/>
              </w:rPr>
              <w:t>潍柴、玉柴发动机或更优品牌）：≥2</w:t>
            </w:r>
            <w:r>
              <w:rPr>
                <w:rFonts w:ascii="宋体" w:hAnsi="宋体" w:eastAsia="宋体" w:cs="Times New Roman"/>
                <w:szCs w:val="21"/>
              </w:rPr>
              <w:t>9</w:t>
            </w:r>
            <w:r>
              <w:rPr>
                <w:rFonts w:hint="eastAsia" w:ascii="宋体" w:hAnsi="宋体" w:eastAsia="宋体" w:cs="Times New Roman"/>
                <w:szCs w:val="21"/>
                <w:lang w:val="en-US" w:eastAsia="zh-CN"/>
              </w:rPr>
              <w:t>7</w:t>
            </w:r>
            <w:r>
              <w:rPr>
                <w:rFonts w:hint="eastAsia" w:ascii="宋体" w:hAnsi="宋体" w:eastAsia="宋体" w:cs="Times New Roman"/>
                <w:szCs w:val="21"/>
              </w:rPr>
              <w:t>kw</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4.2.7</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轴距：≥4</w:t>
            </w:r>
            <w:r>
              <w:rPr>
                <w:rFonts w:hint="eastAsia" w:ascii="宋体" w:hAnsi="宋体" w:eastAsia="宋体" w:cs="Times New Roman"/>
                <w:szCs w:val="21"/>
                <w:lang w:val="en-US" w:eastAsia="zh-CN"/>
              </w:rPr>
              <w:t>6</w:t>
            </w:r>
            <w:r>
              <w:rPr>
                <w:rFonts w:hint="eastAsia" w:ascii="宋体" w:hAnsi="宋体" w:eastAsia="宋体" w:cs="Times New Roman"/>
                <w:szCs w:val="21"/>
              </w:rPr>
              <w:t>25+1350mm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4.2.8</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车载液压系统，全功率取力器直接通过发动机取力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4.2.9</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hint="eastAsia" w:ascii="宋体" w:hAnsi="宋体" w:eastAsia="宋体" w:cs="Times New Roman"/>
                <w:szCs w:val="21"/>
                <w:lang w:eastAsia="zh-CN"/>
              </w:rPr>
            </w:pPr>
            <w:r>
              <w:rPr>
                <w:rFonts w:hint="eastAsia" w:ascii="宋体" w:hAnsi="宋体" w:eastAsia="宋体" w:cs="Times New Roman"/>
                <w:szCs w:val="21"/>
              </w:rPr>
              <w:t>轮胎：</w:t>
            </w:r>
            <w:r>
              <w:rPr>
                <w:rFonts w:hint="eastAsia" w:ascii="宋体" w:hAnsi="宋体"/>
                <w:b w:val="0"/>
                <w:bCs w:val="0"/>
                <w:color w:val="000000"/>
                <w:sz w:val="22"/>
                <w:szCs w:val="22"/>
              </w:rPr>
              <w:t>真空全钢丝轮胎12R22.5或更优</w:t>
            </w:r>
            <w:r>
              <w:rPr>
                <w:rFonts w:hint="eastAsia" w:ascii="宋体" w:hAnsi="宋体" w:eastAsia="宋体" w:cs="Times New Roman"/>
                <w:szCs w:val="21"/>
              </w:rPr>
              <w:t>，配有备用胎1个（参考品牌：</w:t>
            </w:r>
            <w:r>
              <w:rPr>
                <w:rFonts w:hint="eastAsia" w:ascii="宋体" w:hAnsi="宋体" w:eastAsia="宋体" w:cs="Times New Roman"/>
                <w:szCs w:val="21"/>
                <w:lang w:val="en-US" w:eastAsia="zh-CN"/>
              </w:rPr>
              <w:t>玲珑</w:t>
            </w:r>
            <w:r>
              <w:rPr>
                <w:rFonts w:hint="eastAsia" w:ascii="宋体" w:hAnsi="宋体" w:eastAsia="宋体" w:cs="Times New Roman"/>
                <w:szCs w:val="21"/>
              </w:rPr>
              <w:t>、朝阳、三角或更优</w:t>
            </w:r>
            <w:r>
              <w:rPr>
                <w:rFonts w:hint="eastAsia" w:ascii="宋体" w:hAnsi="宋体" w:eastAsia="宋体" w:cs="Times New Roman"/>
                <w:szCs w:val="21"/>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57"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4.2.10</w:t>
            </w:r>
          </w:p>
        </w:tc>
        <w:tc>
          <w:tcPr>
            <w:tcW w:w="8620" w:type="dxa"/>
            <w:tcBorders>
              <w:top w:val="single" w:color="auto" w:sz="4" w:space="0"/>
              <w:left w:val="single" w:color="auto" w:sz="4" w:space="0"/>
              <w:bottom w:val="single" w:color="auto" w:sz="4" w:space="0"/>
              <w:right w:val="doub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推雪板采用高强度低合金钢，具有快速连接系统，还可以和其它前置设备与车辆（如扫雪滚刷，冬季扫雪/夏季清扫）快速互换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4.2.11</w:t>
            </w:r>
          </w:p>
        </w:tc>
        <w:tc>
          <w:tcPr>
            <w:tcW w:w="8620" w:type="dxa"/>
            <w:tcBorders>
              <w:top w:val="single" w:color="auto" w:sz="4" w:space="0"/>
              <w:left w:val="single" w:color="auto" w:sz="4" w:space="0"/>
              <w:bottom w:val="single" w:color="auto" w:sz="4" w:space="0"/>
              <w:right w:val="double" w:color="auto" w:sz="4" w:space="0"/>
            </w:tcBorders>
            <w:vAlign w:val="top"/>
          </w:tcPr>
          <w:p>
            <w:pPr>
              <w:adjustRightInd w:val="0"/>
              <w:snapToGrid w:val="0"/>
              <w:jc w:val="left"/>
              <w:rPr>
                <w:rFonts w:ascii="宋体" w:hAnsi="宋体" w:eastAsia="宋体" w:cs="Times New Roman"/>
                <w:szCs w:val="21"/>
              </w:rPr>
            </w:pPr>
            <w:r>
              <w:rPr>
                <w:rFonts w:hint="eastAsia" w:ascii="宋体" w:hAnsi="宋体" w:eastAsia="宋体" w:cs="Times New Roman"/>
                <w:szCs w:val="21"/>
              </w:rPr>
              <w:t>推雪板宽：≥3</w:t>
            </w:r>
            <w:r>
              <w:rPr>
                <w:rFonts w:ascii="宋体" w:hAnsi="宋体" w:eastAsia="宋体" w:cs="Times New Roman"/>
                <w:szCs w:val="21"/>
              </w:rPr>
              <w:t>6</w:t>
            </w:r>
            <w:r>
              <w:rPr>
                <w:rFonts w:hint="eastAsia" w:ascii="宋体" w:hAnsi="宋体" w:eastAsia="宋体" w:cs="Times New Roman"/>
                <w:szCs w:val="21"/>
              </w:rPr>
              <w:t>00mm，工作宽度：≥</w:t>
            </w:r>
            <w:r>
              <w:rPr>
                <w:rFonts w:ascii="宋体" w:hAnsi="宋体" w:eastAsia="宋体" w:cs="Times New Roman"/>
                <w:szCs w:val="21"/>
              </w:rPr>
              <w:t>30</w:t>
            </w:r>
            <w:r>
              <w:rPr>
                <w:rFonts w:hint="eastAsia" w:ascii="宋体" w:hAnsi="宋体" w:eastAsia="宋体" w:cs="Times New Roman"/>
                <w:szCs w:val="21"/>
              </w:rPr>
              <w:t>00mm, 可液压控制左右摆动角度左右摆动角度：≥0-±</w:t>
            </w:r>
            <w:r>
              <w:rPr>
                <w:rFonts w:ascii="宋体" w:hAnsi="宋体" w:eastAsia="宋体" w:cs="Times New Roman"/>
                <w:szCs w:val="21"/>
              </w:rPr>
              <w:t>30</w:t>
            </w:r>
            <w:r>
              <w:rPr>
                <w:rFonts w:hint="eastAsia" w:ascii="宋体" w:hAnsi="宋体" w:eastAsia="宋体" w:cs="Times New Roman"/>
                <w:szCs w:val="21"/>
              </w:rPr>
              <w:t>°，有限位功能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4.2.12</w:t>
            </w:r>
          </w:p>
        </w:tc>
        <w:tc>
          <w:tcPr>
            <w:tcW w:w="8620" w:type="dxa"/>
            <w:tcBorders>
              <w:top w:val="single" w:color="auto" w:sz="4" w:space="0"/>
              <w:left w:val="single" w:color="auto" w:sz="4" w:space="0"/>
              <w:bottom w:val="single" w:color="auto" w:sz="4" w:space="0"/>
              <w:right w:val="double" w:color="auto" w:sz="4" w:space="0"/>
            </w:tcBorders>
            <w:vAlign w:val="top"/>
          </w:tcPr>
          <w:p>
            <w:pPr>
              <w:adjustRightInd w:val="0"/>
              <w:snapToGrid w:val="0"/>
              <w:jc w:val="left"/>
              <w:rPr>
                <w:rFonts w:ascii="宋体" w:hAnsi="宋体" w:eastAsia="宋体" w:cs="Times New Roman"/>
                <w:szCs w:val="21"/>
              </w:rPr>
            </w:pPr>
            <w:r>
              <w:rPr>
                <w:rFonts w:hint="eastAsia" w:ascii="宋体" w:hAnsi="宋体" w:eastAsia="宋体" w:cs="Times New Roman"/>
                <w:szCs w:val="21"/>
              </w:rPr>
              <w:t>推雪板高：≥1000mm，除雪板重量：≥1000kg，对压实雪具有强制下压功能，保证在短时间内清除压实雪，采用平行四连杆机构，不使用钢丝绳</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4.2.13</w:t>
            </w:r>
          </w:p>
        </w:tc>
        <w:tc>
          <w:tcPr>
            <w:tcW w:w="8620" w:type="dxa"/>
            <w:tcBorders>
              <w:top w:val="single" w:color="auto" w:sz="4" w:space="0"/>
              <w:left w:val="single" w:color="auto" w:sz="4" w:space="0"/>
              <w:bottom w:val="single" w:color="auto" w:sz="4" w:space="0"/>
              <w:right w:val="double" w:color="auto" w:sz="4" w:space="0"/>
            </w:tcBorders>
            <w:vAlign w:val="top"/>
          </w:tcPr>
          <w:p>
            <w:pPr>
              <w:adjustRightInd w:val="0"/>
              <w:snapToGrid w:val="0"/>
              <w:jc w:val="left"/>
              <w:rPr>
                <w:rFonts w:ascii="宋体" w:hAnsi="宋体" w:eastAsia="宋体" w:cs="Times New Roman"/>
                <w:szCs w:val="21"/>
              </w:rPr>
            </w:pPr>
            <w:r>
              <w:rPr>
                <w:rFonts w:hint="eastAsia" w:ascii="宋体" w:hAnsi="宋体" w:eastAsia="宋体" w:cs="Times New Roman"/>
                <w:szCs w:val="21"/>
              </w:rPr>
              <w:t>最大除雪速度：≥50km/h</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4.2.14</w:t>
            </w:r>
          </w:p>
        </w:tc>
        <w:tc>
          <w:tcPr>
            <w:tcW w:w="8620" w:type="dxa"/>
            <w:tcBorders>
              <w:top w:val="single" w:color="auto" w:sz="4" w:space="0"/>
              <w:left w:val="single" w:color="auto" w:sz="4" w:space="0"/>
              <w:bottom w:val="single" w:color="auto" w:sz="4" w:space="0"/>
              <w:right w:val="double" w:color="auto" w:sz="4" w:space="0"/>
            </w:tcBorders>
            <w:vAlign w:val="top"/>
          </w:tcPr>
          <w:p>
            <w:pPr>
              <w:adjustRightInd w:val="0"/>
              <w:snapToGrid w:val="0"/>
              <w:jc w:val="left"/>
              <w:rPr>
                <w:rFonts w:ascii="宋体" w:hAnsi="宋体" w:eastAsia="宋体" w:cs="Times New Roman"/>
                <w:szCs w:val="21"/>
              </w:rPr>
            </w:pPr>
            <w:r>
              <w:rPr>
                <w:rFonts w:hint="eastAsia" w:ascii="宋体" w:hAnsi="宋体" w:eastAsia="宋体" w:cs="Times New Roman"/>
                <w:szCs w:val="21"/>
              </w:rPr>
              <w:t>推雪板拆卸方便，一个人可以完成装卸，外置升降按钮。（提供图片说明）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4.2.15</w:t>
            </w:r>
          </w:p>
        </w:tc>
        <w:tc>
          <w:tcPr>
            <w:tcW w:w="8620" w:type="dxa"/>
            <w:tcBorders>
              <w:top w:val="single" w:color="auto" w:sz="4" w:space="0"/>
              <w:left w:val="single" w:color="auto" w:sz="4" w:space="0"/>
              <w:bottom w:val="single" w:color="auto" w:sz="4" w:space="0"/>
              <w:right w:val="double" w:color="auto" w:sz="4" w:space="0"/>
            </w:tcBorders>
            <w:vAlign w:val="top"/>
          </w:tcPr>
          <w:p>
            <w:pPr>
              <w:adjustRightInd w:val="0"/>
              <w:snapToGrid w:val="0"/>
              <w:jc w:val="left"/>
              <w:rPr>
                <w:rFonts w:ascii="宋体" w:hAnsi="宋体" w:eastAsia="宋体" w:cs="Times New Roman"/>
                <w:szCs w:val="21"/>
              </w:rPr>
            </w:pPr>
            <w:r>
              <w:rPr>
                <w:rFonts w:hint="eastAsia" w:ascii="宋体" w:hAnsi="宋体" w:eastAsia="宋体" w:cs="Times New Roman"/>
                <w:szCs w:val="21"/>
              </w:rPr>
              <w:t>推雪板和撒布机动作控制集成在一个智能触摸屏控制器上，在驾驶室内可以完成各种操作</w:t>
            </w:r>
            <w:r>
              <w:rPr>
                <w:rFonts w:ascii="宋体" w:hAnsi="宋体" w:eastAsia="宋体" w:cs="Times New Roman"/>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4.2.16</w:t>
            </w:r>
          </w:p>
        </w:tc>
        <w:tc>
          <w:tcPr>
            <w:tcW w:w="8620" w:type="dxa"/>
            <w:tcBorders>
              <w:top w:val="single" w:color="auto" w:sz="4" w:space="0"/>
              <w:left w:val="single" w:color="auto" w:sz="4" w:space="0"/>
              <w:bottom w:val="single" w:color="auto" w:sz="4" w:space="0"/>
              <w:right w:val="double" w:color="auto" w:sz="4" w:space="0"/>
            </w:tcBorders>
            <w:vAlign w:val="top"/>
          </w:tcPr>
          <w:p>
            <w:pPr>
              <w:adjustRightInd w:val="0"/>
              <w:snapToGrid w:val="0"/>
              <w:jc w:val="left"/>
              <w:rPr>
                <w:rFonts w:ascii="宋体" w:hAnsi="宋体" w:eastAsia="宋体" w:cs="Times New Roman"/>
                <w:szCs w:val="21"/>
              </w:rPr>
            </w:pPr>
            <w:r>
              <w:rPr>
                <w:rFonts w:hint="eastAsia" w:ascii="宋体" w:hAnsi="宋体" w:eastAsia="宋体" w:cs="Times New Roman"/>
                <w:szCs w:val="21"/>
              </w:rPr>
              <w:t>推雪板具有自动避障和自动复位功能，铲刃分两段避障，避障形式:采用压缩式弹簧避障，六座簧下翻板式，撞击障碍物后铲刃每段都能单独翻转避障，越障高度：≥100mm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4.2.17</w:t>
            </w:r>
          </w:p>
        </w:tc>
        <w:tc>
          <w:tcPr>
            <w:tcW w:w="8620" w:type="dxa"/>
            <w:tcBorders>
              <w:top w:val="single" w:color="auto" w:sz="4" w:space="0"/>
              <w:left w:val="single" w:color="auto" w:sz="4" w:space="0"/>
              <w:bottom w:val="single" w:color="auto" w:sz="4" w:space="0"/>
              <w:right w:val="double" w:color="auto" w:sz="4" w:space="0"/>
            </w:tcBorders>
            <w:vAlign w:val="top"/>
          </w:tcPr>
          <w:p>
            <w:pPr>
              <w:adjustRightInd w:val="0"/>
              <w:snapToGrid w:val="0"/>
              <w:jc w:val="left"/>
              <w:rPr>
                <w:rFonts w:ascii="宋体" w:hAnsi="宋体" w:eastAsia="宋体" w:cs="Times New Roman"/>
                <w:szCs w:val="21"/>
              </w:rPr>
            </w:pPr>
            <w:r>
              <w:rPr>
                <w:rFonts w:hint="eastAsia" w:ascii="宋体" w:hAnsi="宋体" w:eastAsia="宋体" w:cs="Times New Roman"/>
                <w:szCs w:val="21"/>
              </w:rPr>
              <w:t>推雪板要求具有路沿防碰撞功能和防伸缩缝装置，通过螺栓固定，可拆卸，防撞装置尺寸（长×直径）：≥220×70mm，</w:t>
            </w:r>
            <w:r>
              <w:rPr>
                <w:rFonts w:ascii="宋体" w:hAnsi="宋体" w:eastAsia="宋体" w:cs="Times New Roman"/>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4.2.18</w:t>
            </w:r>
          </w:p>
        </w:tc>
        <w:tc>
          <w:tcPr>
            <w:tcW w:w="8620" w:type="dxa"/>
            <w:tcBorders>
              <w:top w:val="single" w:color="auto" w:sz="4" w:space="0"/>
              <w:left w:val="single" w:color="auto" w:sz="4" w:space="0"/>
              <w:bottom w:val="single" w:color="auto" w:sz="4" w:space="0"/>
              <w:right w:val="double" w:color="auto" w:sz="4" w:space="0"/>
            </w:tcBorders>
            <w:vAlign w:val="top"/>
          </w:tcPr>
          <w:p>
            <w:pPr>
              <w:adjustRightInd w:val="0"/>
              <w:snapToGrid w:val="0"/>
              <w:jc w:val="left"/>
              <w:rPr>
                <w:rFonts w:ascii="宋体" w:hAnsi="宋体" w:eastAsia="宋体" w:cs="Times New Roman"/>
                <w:szCs w:val="21"/>
              </w:rPr>
            </w:pPr>
            <w:r>
              <w:rPr>
                <w:rFonts w:hint="eastAsia" w:ascii="宋体" w:hAnsi="宋体" w:eastAsia="宋体" w:cs="Times New Roman"/>
                <w:szCs w:val="21"/>
              </w:rPr>
              <w:t>撒布机：整机结构需采用防腐蚀结构设计，贮料仓内部、撒布系统及外露件须经防腐蚀表面处理涂有防腐涂层（静电喷涂工艺，表面喷涂需达到SA2.5级别），保证与盐类材料长期接触后不锈蚀，耐盐雾腐蚀：≥2000小时（须提供各关键部位材料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4.2.19</w:t>
            </w:r>
          </w:p>
        </w:tc>
        <w:tc>
          <w:tcPr>
            <w:tcW w:w="8620" w:type="dxa"/>
            <w:tcBorders>
              <w:top w:val="single" w:color="auto" w:sz="4" w:space="0"/>
              <w:left w:val="single" w:color="auto" w:sz="4" w:space="0"/>
              <w:bottom w:val="single" w:color="auto" w:sz="4" w:space="0"/>
              <w:right w:val="double" w:color="auto" w:sz="4" w:space="0"/>
            </w:tcBorders>
            <w:vAlign w:val="top"/>
          </w:tcPr>
          <w:p>
            <w:pPr>
              <w:adjustRightInd w:val="0"/>
              <w:snapToGrid w:val="0"/>
              <w:jc w:val="left"/>
              <w:rPr>
                <w:rFonts w:ascii="宋体" w:hAnsi="宋体" w:eastAsia="宋体" w:cs="Times New Roman"/>
                <w:szCs w:val="21"/>
              </w:rPr>
            </w:pPr>
            <w:r>
              <w:rPr>
                <w:rFonts w:hint="eastAsia" w:ascii="宋体" w:hAnsi="宋体" w:eastAsia="宋体" w:cs="Times New Roman"/>
                <w:szCs w:val="21"/>
              </w:rPr>
              <w:t>撒布机料仓容量：≥12m³</w:t>
            </w:r>
            <w:r>
              <w:rPr>
                <w:rFonts w:ascii="宋体" w:hAnsi="宋体" w:eastAsia="宋体" w:cs="Times New Roman"/>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4.2.20</w:t>
            </w:r>
          </w:p>
        </w:tc>
        <w:tc>
          <w:tcPr>
            <w:tcW w:w="8620" w:type="dxa"/>
            <w:tcBorders>
              <w:top w:val="single" w:color="auto" w:sz="4" w:space="0"/>
              <w:left w:val="single" w:color="auto" w:sz="4" w:space="0"/>
              <w:bottom w:val="single" w:color="auto" w:sz="4" w:space="0"/>
              <w:right w:val="double" w:color="auto" w:sz="4" w:space="0"/>
            </w:tcBorders>
            <w:vAlign w:val="top"/>
          </w:tcPr>
          <w:p>
            <w:pPr>
              <w:adjustRightInd w:val="0"/>
              <w:snapToGrid w:val="0"/>
              <w:jc w:val="left"/>
              <w:rPr>
                <w:rFonts w:hint="default" w:ascii="宋体" w:hAnsi="宋体" w:eastAsia="宋体" w:cs="Times New Roman"/>
                <w:szCs w:val="21"/>
                <w:lang w:val="en-US" w:eastAsia="zh-CN"/>
              </w:rPr>
            </w:pPr>
            <w:r>
              <w:rPr>
                <w:rFonts w:hint="eastAsia" w:ascii="宋体" w:hAnsi="宋体" w:eastAsia="宋体" w:cs="Times New Roman"/>
                <w:szCs w:val="21"/>
              </w:rPr>
              <w:t>撒布机由底盘取力液压驱动，具有智能</w:t>
            </w:r>
            <w:r>
              <w:rPr>
                <w:rFonts w:hint="eastAsia" w:ascii="宋体" w:hAnsi="宋体" w:eastAsia="宋体" w:cs="Times New Roman"/>
                <w:szCs w:val="21"/>
                <w:lang w:val="en-US" w:eastAsia="zh-CN"/>
              </w:rPr>
              <w:t>撒布系统和可视系统。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4.2.21</w:t>
            </w:r>
          </w:p>
        </w:tc>
        <w:tc>
          <w:tcPr>
            <w:tcW w:w="8620" w:type="dxa"/>
            <w:tcBorders>
              <w:top w:val="single" w:color="auto" w:sz="4" w:space="0"/>
              <w:left w:val="single" w:color="auto" w:sz="4" w:space="0"/>
              <w:bottom w:val="single" w:color="auto" w:sz="4" w:space="0"/>
              <w:right w:val="double" w:color="auto" w:sz="4" w:space="0"/>
            </w:tcBorders>
            <w:vAlign w:val="top"/>
          </w:tcPr>
          <w:p>
            <w:pPr>
              <w:adjustRightInd w:val="0"/>
              <w:snapToGrid w:val="0"/>
              <w:jc w:val="left"/>
              <w:rPr>
                <w:rFonts w:ascii="宋体" w:hAnsi="宋体" w:eastAsia="宋体" w:cs="Times New Roman"/>
                <w:szCs w:val="21"/>
              </w:rPr>
            </w:pPr>
            <w:r>
              <w:rPr>
                <w:rFonts w:hint="eastAsia" w:ascii="宋体" w:hAnsi="宋体" w:eastAsia="宋体" w:cs="Times New Roman"/>
                <w:szCs w:val="21"/>
              </w:rPr>
              <w:t>撒布机应具有左右对称、单左方向、单右方向撒布三种撒布模式，撒布宽度：3-10m之间任意可调，可在驾驶室内实现左侧或右侧的单侧撒布（须附控制装置照片并说明原理），安装有缺料报警装置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4.2.22</w:t>
            </w:r>
          </w:p>
        </w:tc>
        <w:tc>
          <w:tcPr>
            <w:tcW w:w="8620" w:type="dxa"/>
            <w:tcBorders>
              <w:top w:val="single" w:color="auto" w:sz="4" w:space="0"/>
              <w:left w:val="single" w:color="auto" w:sz="4" w:space="0"/>
              <w:bottom w:val="single" w:color="auto" w:sz="4" w:space="0"/>
              <w:right w:val="double" w:color="auto" w:sz="4" w:space="0"/>
            </w:tcBorders>
            <w:vAlign w:val="top"/>
          </w:tcPr>
          <w:p>
            <w:pPr>
              <w:adjustRightInd w:val="0"/>
              <w:snapToGrid w:val="0"/>
              <w:jc w:val="left"/>
              <w:rPr>
                <w:rFonts w:ascii="宋体" w:hAnsi="宋体" w:eastAsia="宋体" w:cs="Times New Roman"/>
                <w:szCs w:val="21"/>
              </w:rPr>
            </w:pPr>
            <w:r>
              <w:rPr>
                <w:rFonts w:hint="eastAsia" w:ascii="宋体" w:hAnsi="宋体" w:eastAsia="宋体" w:cs="Times New Roman"/>
                <w:szCs w:val="21"/>
              </w:rPr>
              <w:t>整车前后安装摄像头，驾驶室内置显示屏，可在驾驶室内观看车前后情况及撒布机撒布情况。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4.2.23</w:t>
            </w:r>
          </w:p>
        </w:tc>
        <w:tc>
          <w:tcPr>
            <w:tcW w:w="8620" w:type="dxa"/>
            <w:tcBorders>
              <w:top w:val="single" w:color="auto" w:sz="4" w:space="0"/>
              <w:left w:val="single" w:color="auto" w:sz="4" w:space="0"/>
              <w:bottom w:val="single" w:color="auto" w:sz="4" w:space="0"/>
              <w:right w:val="double" w:color="auto" w:sz="4" w:space="0"/>
            </w:tcBorders>
            <w:vAlign w:val="top"/>
          </w:tcPr>
          <w:p>
            <w:pPr>
              <w:adjustRightInd w:val="0"/>
              <w:snapToGrid w:val="0"/>
              <w:jc w:val="left"/>
              <w:rPr>
                <w:rFonts w:ascii="宋体" w:hAnsi="宋体" w:eastAsia="宋体" w:cs="Times New Roman"/>
                <w:szCs w:val="21"/>
              </w:rPr>
            </w:pPr>
            <w:r>
              <w:rPr>
                <w:rFonts w:hint="eastAsia" w:ascii="宋体" w:hAnsi="宋体" w:eastAsia="宋体" w:cs="Times New Roman"/>
                <w:szCs w:val="21"/>
              </w:rPr>
              <w:t>最大撒布作业速度：≥50km/h，在驾驶室内控制，可随时对撒布机启动及关闭、撒布量大小、撒盐盘（拨料器）转速等进行任意调节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4.2.24</w:t>
            </w:r>
          </w:p>
        </w:tc>
        <w:tc>
          <w:tcPr>
            <w:tcW w:w="8620" w:type="dxa"/>
            <w:tcBorders>
              <w:top w:val="single" w:color="auto" w:sz="4" w:space="0"/>
              <w:left w:val="single" w:color="auto" w:sz="4" w:space="0"/>
              <w:bottom w:val="single" w:color="auto" w:sz="4" w:space="0"/>
              <w:right w:val="double" w:color="auto" w:sz="4" w:space="0"/>
            </w:tcBorders>
            <w:vAlign w:val="top"/>
          </w:tcPr>
          <w:p>
            <w:pPr>
              <w:adjustRightInd w:val="0"/>
              <w:snapToGrid w:val="0"/>
              <w:jc w:val="left"/>
              <w:rPr>
                <w:rFonts w:ascii="宋体" w:hAnsi="宋体" w:eastAsia="宋体" w:cs="Times New Roman"/>
                <w:szCs w:val="21"/>
              </w:rPr>
            </w:pPr>
            <w:r>
              <w:rPr>
                <w:rFonts w:hint="eastAsia" w:ascii="宋体" w:hAnsi="宋体" w:eastAsia="宋体" w:cs="Times New Roman"/>
                <w:szCs w:val="21"/>
              </w:rPr>
              <w:t>撒布盘为全不锈钢材质，直径≥</w:t>
            </w:r>
            <w:r>
              <w:rPr>
                <w:rFonts w:hint="eastAsia" w:ascii="宋体" w:hAnsi="宋体" w:eastAsia="宋体" w:cs="Times New Roman"/>
                <w:szCs w:val="21"/>
                <w:lang w:val="en-US" w:eastAsia="zh-CN"/>
              </w:rPr>
              <w:t>45</w:t>
            </w:r>
            <w:r>
              <w:rPr>
                <w:rFonts w:hint="eastAsia" w:ascii="宋体" w:hAnsi="宋体" w:eastAsia="宋体" w:cs="Times New Roman"/>
                <w:szCs w:val="21"/>
              </w:rPr>
              <w:t>0mm；向上翻转带助力装置；以方便板结融雪物料清除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4.2.25</w:t>
            </w:r>
          </w:p>
        </w:tc>
        <w:tc>
          <w:tcPr>
            <w:tcW w:w="8620" w:type="dxa"/>
            <w:tcBorders>
              <w:top w:val="single" w:color="auto" w:sz="4" w:space="0"/>
              <w:left w:val="single" w:color="auto" w:sz="4" w:space="0"/>
              <w:bottom w:val="single" w:color="auto" w:sz="4" w:space="0"/>
              <w:right w:val="double" w:color="auto" w:sz="4" w:space="0"/>
            </w:tcBorders>
            <w:vAlign w:val="top"/>
          </w:tcPr>
          <w:p>
            <w:pPr>
              <w:adjustRightInd w:val="0"/>
              <w:snapToGrid w:val="0"/>
              <w:jc w:val="left"/>
              <w:rPr>
                <w:rFonts w:ascii="宋体" w:hAnsi="宋体" w:eastAsia="宋体" w:cs="Times New Roman"/>
                <w:szCs w:val="21"/>
              </w:rPr>
            </w:pPr>
            <w:r>
              <w:rPr>
                <w:rFonts w:hint="eastAsia" w:ascii="宋体" w:hAnsi="宋体" w:eastAsia="宋体" w:cs="Times New Roman"/>
                <w:szCs w:val="21"/>
              </w:rPr>
              <w:t>撒布盘对地高度可任意调节，以适应不同车型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4.2.26</w:t>
            </w:r>
          </w:p>
        </w:tc>
        <w:tc>
          <w:tcPr>
            <w:tcW w:w="8620" w:type="dxa"/>
            <w:tcBorders>
              <w:top w:val="single" w:color="auto" w:sz="4" w:space="0"/>
              <w:left w:val="single" w:color="auto" w:sz="4" w:space="0"/>
              <w:bottom w:val="single" w:color="auto" w:sz="4" w:space="0"/>
              <w:right w:val="double" w:color="auto" w:sz="4" w:space="0"/>
            </w:tcBorders>
            <w:vAlign w:val="top"/>
          </w:tcPr>
          <w:p>
            <w:pPr>
              <w:adjustRightInd w:val="0"/>
              <w:snapToGrid w:val="0"/>
              <w:jc w:val="left"/>
              <w:rPr>
                <w:rFonts w:ascii="宋体" w:hAnsi="宋体" w:eastAsia="宋体" w:cs="Times New Roman"/>
                <w:szCs w:val="21"/>
              </w:rPr>
            </w:pPr>
            <w:r>
              <w:rPr>
                <w:rFonts w:hint="eastAsia" w:ascii="宋体" w:hAnsi="宋体" w:eastAsia="宋体" w:cs="Times New Roman"/>
                <w:szCs w:val="21"/>
              </w:rPr>
              <w:t>撒布机可实现不经撒布盘，通过向上翻转撒布盘可方便卸除撒布机内剩余融雪剂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4.2.27</w:t>
            </w:r>
          </w:p>
        </w:tc>
        <w:tc>
          <w:tcPr>
            <w:tcW w:w="8620" w:type="dxa"/>
            <w:tcBorders>
              <w:top w:val="single" w:color="auto" w:sz="4" w:space="0"/>
              <w:left w:val="single" w:color="auto" w:sz="4" w:space="0"/>
              <w:bottom w:val="single" w:color="auto" w:sz="4" w:space="0"/>
              <w:right w:val="double" w:color="auto" w:sz="4" w:space="0"/>
            </w:tcBorders>
            <w:vAlign w:val="top"/>
          </w:tcPr>
          <w:p>
            <w:pPr>
              <w:adjustRightInd w:val="0"/>
              <w:snapToGrid w:val="0"/>
              <w:jc w:val="left"/>
              <w:rPr>
                <w:rFonts w:ascii="宋体" w:hAnsi="宋体" w:eastAsia="宋体" w:cs="Times New Roman"/>
                <w:szCs w:val="21"/>
              </w:rPr>
            </w:pPr>
            <w:r>
              <w:rPr>
                <w:rFonts w:hint="eastAsia" w:ascii="宋体" w:hAnsi="宋体" w:eastAsia="宋体" w:cs="Times New Roman"/>
                <w:szCs w:val="21"/>
              </w:rPr>
              <w:t>出料控制板开口调整采用电动控制方式，可在驾驶室内调整出料口大小。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4.2.28</w:t>
            </w:r>
          </w:p>
        </w:tc>
        <w:tc>
          <w:tcPr>
            <w:tcW w:w="8620" w:type="dxa"/>
            <w:tcBorders>
              <w:top w:val="single" w:color="auto" w:sz="4" w:space="0"/>
              <w:left w:val="single" w:color="auto" w:sz="4" w:space="0"/>
              <w:bottom w:val="single" w:color="auto" w:sz="4" w:space="0"/>
              <w:right w:val="double" w:color="auto" w:sz="4" w:space="0"/>
            </w:tcBorders>
            <w:vAlign w:val="top"/>
          </w:tcPr>
          <w:p>
            <w:pPr>
              <w:adjustRightInd w:val="0"/>
              <w:snapToGrid w:val="0"/>
              <w:jc w:val="left"/>
              <w:rPr>
                <w:rFonts w:ascii="宋体" w:hAnsi="宋体" w:eastAsia="宋体" w:cs="Times New Roman"/>
                <w:szCs w:val="21"/>
              </w:rPr>
            </w:pPr>
            <w:r>
              <w:rPr>
                <w:rFonts w:hint="eastAsia" w:ascii="宋体" w:hAnsi="宋体" w:eastAsia="宋体" w:cs="Times New Roman"/>
                <w:szCs w:val="21"/>
              </w:rPr>
              <w:t>具有皮带清扫装置，可将附着在皮带上的融雪剂清扫下来，防止把融雪剂带进底盘造成腐蚀。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4.2.29</w:t>
            </w:r>
          </w:p>
        </w:tc>
        <w:tc>
          <w:tcPr>
            <w:tcW w:w="8620" w:type="dxa"/>
            <w:tcBorders>
              <w:top w:val="single" w:color="auto" w:sz="4" w:space="0"/>
              <w:left w:val="single" w:color="auto" w:sz="4" w:space="0"/>
              <w:bottom w:val="single" w:color="auto" w:sz="4" w:space="0"/>
              <w:right w:val="double" w:color="auto" w:sz="4" w:space="0"/>
            </w:tcBorders>
            <w:vAlign w:val="top"/>
          </w:tcPr>
          <w:p>
            <w:pPr>
              <w:adjustRightInd w:val="0"/>
              <w:snapToGrid w:val="0"/>
              <w:jc w:val="left"/>
              <w:rPr>
                <w:rFonts w:ascii="宋体" w:hAnsi="宋体" w:eastAsia="宋体" w:cs="Times New Roman"/>
                <w:szCs w:val="21"/>
              </w:rPr>
            </w:pPr>
            <w:r>
              <w:rPr>
                <w:rFonts w:hint="eastAsia" w:ascii="宋体" w:hAnsi="宋体" w:eastAsia="宋体" w:cs="Times New Roman"/>
                <w:szCs w:val="21"/>
              </w:rPr>
              <w:t>采用橡胶皮带式输料器，不接受其他传动方式。坚固耐用抗腐蚀性优良，皮带有效宽度：≥4</w:t>
            </w:r>
            <w:r>
              <w:rPr>
                <w:rFonts w:hint="eastAsia" w:ascii="宋体" w:hAnsi="宋体" w:eastAsia="宋体" w:cs="Times New Roman"/>
                <w:szCs w:val="21"/>
                <w:lang w:val="en-US" w:eastAsia="zh-CN"/>
              </w:rPr>
              <w:t>2</w:t>
            </w:r>
            <w:r>
              <w:rPr>
                <w:rFonts w:hint="eastAsia" w:ascii="宋体" w:hAnsi="宋体" w:eastAsia="宋体" w:cs="Times New Roman"/>
                <w:szCs w:val="21"/>
              </w:rPr>
              <w:t>0mm，液压泵带动液压变速箱，驱动输料器，能避免打滑、丢转产生的漏撒、撒布不均匀等现象，具有对物料的削切功能，削切板结且体积较大的物料，</w:t>
            </w:r>
            <w:r>
              <w:rPr>
                <w:rFonts w:ascii="宋体" w:hAnsi="宋体" w:eastAsia="宋体" w:cs="Times New Roman"/>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4.2.30</w:t>
            </w:r>
          </w:p>
        </w:tc>
        <w:tc>
          <w:tcPr>
            <w:tcW w:w="8620" w:type="dxa"/>
            <w:tcBorders>
              <w:top w:val="single" w:color="auto" w:sz="4" w:space="0"/>
              <w:left w:val="single" w:color="auto" w:sz="4" w:space="0"/>
              <w:bottom w:val="single" w:color="auto" w:sz="4" w:space="0"/>
              <w:right w:val="double" w:color="auto" w:sz="4" w:space="0"/>
            </w:tcBorders>
            <w:vAlign w:val="top"/>
          </w:tcPr>
          <w:p>
            <w:pPr>
              <w:adjustRightInd w:val="0"/>
              <w:snapToGrid w:val="0"/>
              <w:jc w:val="left"/>
              <w:rPr>
                <w:rFonts w:ascii="宋体" w:hAnsi="宋体" w:eastAsia="宋体" w:cs="Times New Roman"/>
                <w:szCs w:val="21"/>
              </w:rPr>
            </w:pPr>
            <w:r>
              <w:rPr>
                <w:rFonts w:hint="eastAsia" w:ascii="宋体" w:hAnsi="宋体" w:eastAsia="宋体" w:cs="Times New Roman"/>
                <w:szCs w:val="21"/>
              </w:rPr>
              <w:t>料仓上部配有开合自如的遮挡篷布，具备手动启闭该防雨篷布的装置，带张紧器；料仓上部带有过滤安全网，可以滤除融雪剂中大型异物，保护设备安全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4.2.31</w:t>
            </w:r>
          </w:p>
        </w:tc>
        <w:tc>
          <w:tcPr>
            <w:tcW w:w="8620" w:type="dxa"/>
            <w:tcBorders>
              <w:top w:val="single" w:color="auto" w:sz="4" w:space="0"/>
              <w:left w:val="single" w:color="auto" w:sz="4" w:space="0"/>
              <w:bottom w:val="single" w:color="auto" w:sz="4" w:space="0"/>
              <w:right w:val="double" w:color="auto" w:sz="4" w:space="0"/>
            </w:tcBorders>
            <w:vAlign w:val="top"/>
          </w:tcPr>
          <w:p>
            <w:pPr>
              <w:adjustRightInd w:val="0"/>
              <w:snapToGrid w:val="0"/>
              <w:jc w:val="left"/>
              <w:rPr>
                <w:rFonts w:ascii="宋体" w:hAnsi="宋体" w:eastAsia="宋体" w:cs="Times New Roman"/>
                <w:szCs w:val="21"/>
              </w:rPr>
            </w:pPr>
            <w:r>
              <w:rPr>
                <w:rFonts w:hint="eastAsia" w:ascii="宋体" w:hAnsi="宋体" w:eastAsia="宋体" w:cs="Times New Roman"/>
                <w:szCs w:val="21"/>
              </w:rPr>
              <w:t>车厢与盐箱间加装5～10cm高度横钢，便于清洗车厢内盐料。（方向沿车头到车尾。）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4.2.32</w:t>
            </w:r>
          </w:p>
        </w:tc>
        <w:tc>
          <w:tcPr>
            <w:tcW w:w="8620" w:type="dxa"/>
            <w:tcBorders>
              <w:top w:val="single" w:color="auto" w:sz="4" w:space="0"/>
              <w:left w:val="single" w:color="auto" w:sz="4" w:space="0"/>
              <w:bottom w:val="single" w:color="auto" w:sz="4" w:space="0"/>
              <w:right w:val="double" w:color="auto" w:sz="4" w:space="0"/>
            </w:tcBorders>
            <w:vAlign w:val="top"/>
          </w:tcPr>
          <w:p>
            <w:pPr>
              <w:adjustRightInd w:val="0"/>
              <w:snapToGrid w:val="0"/>
              <w:jc w:val="left"/>
              <w:rPr>
                <w:rFonts w:ascii="宋体" w:hAnsi="宋体" w:eastAsia="宋体" w:cs="Times New Roman"/>
                <w:szCs w:val="21"/>
              </w:rPr>
            </w:pPr>
            <w:r>
              <w:rPr>
                <w:rFonts w:hint="eastAsia" w:ascii="宋体" w:hAnsi="宋体" w:eastAsia="宋体" w:cs="Times New Roman"/>
                <w:szCs w:val="21"/>
              </w:rPr>
              <w:t>料仓内部设有防止融雪剂板结的装置，该装置用于防止由于融雪剂因运输颠簸或受潮板结而无法输送的现象；皮带上方设有倒V形防堵塞隔板，减少融雪剂对输料器（皮带）的压力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4.2.33</w:t>
            </w:r>
          </w:p>
        </w:tc>
        <w:tc>
          <w:tcPr>
            <w:tcW w:w="8620" w:type="dxa"/>
            <w:tcBorders>
              <w:top w:val="single" w:color="auto" w:sz="4" w:space="0"/>
              <w:left w:val="single" w:color="auto" w:sz="4" w:space="0"/>
              <w:bottom w:val="single" w:color="auto" w:sz="4" w:space="0"/>
              <w:right w:val="double" w:color="auto" w:sz="4" w:space="0"/>
            </w:tcBorders>
            <w:vAlign w:val="top"/>
          </w:tcPr>
          <w:p>
            <w:pPr>
              <w:adjustRightInd w:val="0"/>
              <w:snapToGrid w:val="0"/>
              <w:jc w:val="left"/>
              <w:rPr>
                <w:rFonts w:ascii="宋体" w:hAnsi="宋体" w:eastAsia="宋体" w:cs="Times New Roman"/>
                <w:szCs w:val="21"/>
              </w:rPr>
            </w:pPr>
            <w:r>
              <w:rPr>
                <w:rFonts w:hint="eastAsia" w:ascii="宋体" w:hAnsi="宋体" w:eastAsia="宋体" w:cs="Times New Roman"/>
                <w:szCs w:val="21"/>
              </w:rPr>
              <w:t>撒布机出料槽上方四周安装防护栏，防护栏高度不低于1.5m.确保工人作业安全。车头顶上安装长度不低于60cmLED(宽、高适中）照明灯，以确保行车照明。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4.2.34</w:t>
            </w:r>
          </w:p>
        </w:tc>
        <w:tc>
          <w:tcPr>
            <w:tcW w:w="8620" w:type="dxa"/>
            <w:tcBorders>
              <w:top w:val="single" w:color="auto" w:sz="4" w:space="0"/>
              <w:left w:val="single" w:color="auto" w:sz="4" w:space="0"/>
              <w:bottom w:val="single" w:color="auto" w:sz="4" w:space="0"/>
              <w:right w:val="double" w:color="auto" w:sz="4" w:space="0"/>
            </w:tcBorders>
            <w:vAlign w:val="top"/>
          </w:tcPr>
          <w:p>
            <w:pPr>
              <w:adjustRightInd w:val="0"/>
              <w:snapToGrid w:val="0"/>
              <w:jc w:val="left"/>
              <w:rPr>
                <w:rFonts w:ascii="宋体" w:hAnsi="宋体" w:eastAsia="宋体" w:cs="Times New Roman"/>
                <w:szCs w:val="21"/>
              </w:rPr>
            </w:pPr>
            <w:r>
              <w:rPr>
                <w:rFonts w:hint="eastAsia" w:ascii="宋体" w:hAnsi="宋体" w:eastAsia="宋体" w:cs="Times New Roman"/>
                <w:szCs w:val="21"/>
              </w:rPr>
              <w:t>配有可供设备拆卸的自卸支腿，以便适应不同车型及不同区域储存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4.2.35</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jc w:val="left"/>
              <w:rPr>
                <w:rFonts w:ascii="宋体" w:hAnsi="宋体" w:eastAsia="宋体" w:cs="Times New Roman"/>
                <w:szCs w:val="21"/>
              </w:rPr>
            </w:pPr>
            <w:r>
              <w:rPr>
                <w:rFonts w:hint="eastAsia" w:ascii="宋体" w:hAnsi="宋体" w:eastAsia="宋体" w:cs="Times New Roman"/>
                <w:szCs w:val="21"/>
              </w:rPr>
              <w:t>撒布机外形尺寸（长*宽*高）mm：</w:t>
            </w:r>
            <w:r>
              <w:rPr>
                <w:rFonts w:ascii="宋体" w:hAnsi="宋体" w:eastAsia="宋体" w:cs="Times New Roman"/>
                <w:szCs w:val="21"/>
              </w:rPr>
              <w:t>7060*1990*2150</w:t>
            </w:r>
            <w:r>
              <w:rPr>
                <w:rFonts w:hint="eastAsia" w:ascii="宋体" w:hAnsi="宋体" w:eastAsia="宋体" w:cs="Times New Roman"/>
                <w:szCs w:val="21"/>
              </w:rPr>
              <w:t>±</w:t>
            </w:r>
            <w:r>
              <w:rPr>
                <w:rFonts w:ascii="宋体" w:hAnsi="宋体" w:eastAsia="宋体" w:cs="Times New Roman"/>
                <w:szCs w:val="21"/>
              </w:rPr>
              <w:t>50</w:t>
            </w:r>
            <w:r>
              <w:rPr>
                <w:rFonts w:hint="eastAsia" w:ascii="宋体" w:hAnsi="宋体" w:eastAsia="宋体" w:cs="Times New Roman"/>
                <w:szCs w:val="21"/>
              </w:rPr>
              <w:t>，安装适当高度LED工作灯及警示灯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4.2.36</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jc w:val="left"/>
              <w:rPr>
                <w:rFonts w:ascii="宋体" w:hAnsi="宋体" w:eastAsia="宋体" w:cs="Times New Roman"/>
                <w:szCs w:val="21"/>
              </w:rPr>
            </w:pPr>
            <w:r>
              <w:rPr>
                <w:rFonts w:hint="eastAsia" w:ascii="宋体" w:hAnsi="宋体" w:eastAsia="宋体" w:cs="Times New Roman"/>
                <w:szCs w:val="21"/>
              </w:rPr>
              <w:t xml:space="preserve">撒布器上装有出料传感器，可在汽车驾驶室掌握撒布器出料情况。在汽车驾驶室可调整撒布量大小，具有光控料空报警装置；配有双向箭头指示灯和工作照明灯；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23"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4.2.37</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jc w:val="left"/>
              <w:rPr>
                <w:rFonts w:ascii="宋体" w:hAnsi="宋体" w:eastAsia="宋体" w:cs="Times New Roman"/>
                <w:szCs w:val="21"/>
              </w:rPr>
            </w:pPr>
            <w:r>
              <w:rPr>
                <w:rFonts w:hint="eastAsia" w:ascii="宋体" w:hAnsi="宋体" w:eastAsia="宋体" w:cs="Times New Roman"/>
                <w:szCs w:val="21"/>
              </w:rPr>
              <w:t>整车车身颜色为工程黄色，均须安装晚间工作时的车后双向灯，驾驶室顶配长排警灯，驾驶室内应有收音机等设备，带冷暖空调，座位：≥2；均带助力转向装置、随车简易车辆维修工具、轮胎装卸工具、10吨千斤顶、维护用梯子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4.2.38</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jc w:val="left"/>
              <w:rPr>
                <w:rFonts w:ascii="宋体" w:hAnsi="宋体" w:eastAsia="宋体" w:cs="Times New Roman"/>
                <w:szCs w:val="21"/>
              </w:rPr>
            </w:pPr>
            <w:r>
              <w:rPr>
                <w:rFonts w:hint="eastAsia" w:ascii="宋体" w:hAnsi="宋体" w:eastAsia="宋体" w:cs="Times New Roman"/>
                <w:szCs w:val="21"/>
              </w:rPr>
              <w:t>交货期：≤</w:t>
            </w:r>
            <w:r>
              <w:rPr>
                <w:rFonts w:ascii="宋体" w:hAnsi="宋体" w:eastAsia="宋体" w:cs="Times New Roman"/>
                <w:szCs w:val="21"/>
              </w:rPr>
              <w:t>6</w:t>
            </w:r>
            <w:r>
              <w:rPr>
                <w:rFonts w:hint="eastAsia" w:ascii="宋体" w:hAnsi="宋体" w:eastAsia="宋体" w:cs="Times New Roman"/>
                <w:szCs w:val="21"/>
              </w:rPr>
              <w:t>0 天（</w:t>
            </w:r>
            <w:r>
              <w:rPr>
                <w:rFonts w:hint="eastAsia" w:ascii="宋体" w:hAnsi="宋体" w:eastAsia="宋体" w:cs="宋体"/>
                <w:kern w:val="0"/>
                <w:sz w:val="22"/>
              </w:rPr>
              <w:t>合同签订后</w:t>
            </w:r>
            <w:r>
              <w:rPr>
                <w:rFonts w:ascii="宋体" w:hAnsi="宋体" w:eastAsia="宋体" w:cs="宋体"/>
                <w:kern w:val="0"/>
                <w:sz w:val="22"/>
              </w:rPr>
              <w:t>6</w:t>
            </w:r>
            <w:r>
              <w:rPr>
                <w:rFonts w:hint="eastAsia" w:ascii="宋体" w:hAnsi="宋体" w:eastAsia="宋体" w:cs="宋体"/>
                <w:kern w:val="0"/>
                <w:sz w:val="22"/>
              </w:rPr>
              <w:t>0天内</w:t>
            </w:r>
            <w:r>
              <w:rPr>
                <w:rFonts w:hint="eastAsia" w:ascii="宋体" w:hAnsi="宋体" w:eastAsia="宋体" w:cs="Times New Roman"/>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899" w:type="dxa"/>
            <w:tcBorders>
              <w:top w:val="single" w:color="auto" w:sz="4" w:space="0"/>
              <w:left w:val="double" w:color="auto" w:sz="4" w:space="0"/>
              <w:bottom w:val="single" w:color="auto" w:sz="4" w:space="0"/>
              <w:right w:val="single" w:color="auto" w:sz="4" w:space="0"/>
            </w:tcBorders>
          </w:tcPr>
          <w:p>
            <w:pPr>
              <w:adjustRightInd w:val="0"/>
              <w:snapToGrid w:val="0"/>
              <w:jc w:val="left"/>
              <w:rPr>
                <w:rFonts w:ascii="宋体" w:hAnsi="宋体" w:eastAsia="宋体" w:cs="Times New Roman"/>
                <w:szCs w:val="21"/>
              </w:rPr>
            </w:pPr>
            <w:r>
              <w:rPr>
                <w:rFonts w:hint="eastAsia" w:ascii="宋体" w:hAnsi="宋体" w:eastAsia="宋体" w:cs="Times New Roman"/>
                <w:szCs w:val="21"/>
              </w:rPr>
              <w:t>4.2.</w:t>
            </w:r>
            <w:r>
              <w:rPr>
                <w:rFonts w:ascii="宋体" w:hAnsi="宋体" w:eastAsia="宋体" w:cs="Times New Roman"/>
                <w:szCs w:val="21"/>
              </w:rPr>
              <w:t>39</w:t>
            </w:r>
          </w:p>
        </w:tc>
        <w:tc>
          <w:tcPr>
            <w:tcW w:w="8620" w:type="dxa"/>
            <w:tcBorders>
              <w:top w:val="single" w:color="auto" w:sz="4" w:space="0"/>
              <w:left w:val="single" w:color="auto" w:sz="4" w:space="0"/>
              <w:bottom w:val="single" w:color="auto" w:sz="4" w:space="0"/>
              <w:right w:val="double" w:color="auto" w:sz="4" w:space="0"/>
            </w:tcBorders>
            <w:vAlign w:val="center"/>
          </w:tcPr>
          <w:p>
            <w:pPr>
              <w:adjustRightInd w:val="0"/>
              <w:snapToGrid w:val="0"/>
              <w:jc w:val="left"/>
              <w:rPr>
                <w:rFonts w:ascii="宋体" w:hAnsi="宋体" w:eastAsia="宋体" w:cs="Times New Roman"/>
                <w:szCs w:val="21"/>
              </w:rPr>
            </w:pPr>
            <w:r>
              <w:rPr>
                <w:rFonts w:hint="eastAsia" w:ascii="宋体" w:hAnsi="宋体" w:eastAsia="宋体" w:cs="Times New Roman"/>
                <w:szCs w:val="21"/>
              </w:rPr>
              <w:t>质保期：24个月</w:t>
            </w:r>
          </w:p>
        </w:tc>
      </w:tr>
    </w:tbl>
    <w:p>
      <w:pPr>
        <w:rPr>
          <w:rFonts w:ascii="Times New Roman" w:hAnsi="Times New Roman" w:eastAsia="宋体" w:cs="Times New Roman"/>
        </w:rPr>
      </w:pPr>
    </w:p>
    <w:p>
      <w:pPr>
        <w:pStyle w:val="2"/>
      </w:pP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9"/>
        <w:gridCol w:w="8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序号</w:t>
            </w:r>
          </w:p>
        </w:tc>
        <w:tc>
          <w:tcPr>
            <w:tcW w:w="4195"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b/>
                <w:bCs/>
                <w:sz w:val="21"/>
                <w:szCs w:val="21"/>
                <w:lang w:val="en-US" w:eastAsia="zh-CN"/>
              </w:rPr>
              <w:t>防撞缓冲车</w:t>
            </w:r>
            <w:r>
              <w:rPr>
                <w:rFonts w:hint="eastAsia" w:ascii="宋体" w:hAnsi="宋体" w:eastAsia="宋体" w:cs="宋体"/>
                <w:b/>
                <w:bCs/>
                <w:sz w:val="21"/>
                <w:szCs w:val="21"/>
              </w:rPr>
              <w:t>技术性能指标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195"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b/>
                <w:bCs/>
                <w:color w:val="000000"/>
                <w:kern w:val="0"/>
                <w:sz w:val="21"/>
                <w:szCs w:val="21"/>
                <w:lang w:val="en-US" w:eastAsia="zh-CN" w:bidi="ar"/>
              </w:rPr>
              <w:t xml:space="preserve">（一）整车及底盘技术参数要求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195"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1.车辆底盘品牌：国际、国内知名品牌；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195"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2.排放标准：国Ⅵ排放；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195"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3.整车长*宽*高（mm）：≥7690×2550×2955；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195"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4.整车最大总质量（kg）：≥12000；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195"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5.轴距（mm）：≥4500；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4195"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 xml:space="preserve">6.整备重量（kg）：≥11800；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4195"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7.驾驶室配置要求：驾驶室内配置原厂冷暖空调和收放机，准乘3人；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4195"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8.发动机品牌：采用国内或国际知名品牌；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4195"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9.发动机功率（kw）：≥140；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4195"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10.前悬/后悬（mm）：≥1400/1700；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4195"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11.接近/离去角°：≥16/15°；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4195"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12.设备已列入国家工业和信息化部公布的《道路机动车辆生产企业及产品公告》；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4195"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13.负责车辆落户全过程，包含税费、运费、落户费、交强险、杂费等；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4195"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14.其他：整车要符合国家现行标准，并列入国家工信部机动车辆正式公告、环保公告，具有3C认证，可以办理上牌。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4195"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b/>
                <w:bCs/>
                <w:color w:val="000000"/>
                <w:kern w:val="0"/>
                <w:sz w:val="21"/>
                <w:szCs w:val="21"/>
                <w:lang w:val="en-US" w:eastAsia="zh-CN" w:bidi="ar"/>
              </w:rPr>
              <w:t xml:space="preserve">（二）防撞缓冲垫参数及要求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4195"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1.防撞垫翻转角度(°)：0-180°,防撞垫可折叠平放，行驶时保证车辆通过性；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4195"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 xml:space="preserve">2.防撞缓冲垫尺寸：（长*宽*高）：≥3125*2300*680mm；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4195"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3.防撞垫产地证明材料：提供防撞垫生产厂家授权书；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4195"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lang w:val="en-US" w:eastAsia="zh-CN"/>
              </w:rPr>
            </w:pPr>
            <w:r>
              <w:rPr>
                <w:rFonts w:hint="eastAsia" w:ascii="宋体" w:hAnsi="宋体" w:eastAsia="宋体" w:cs="宋体"/>
                <w:color w:val="000000"/>
                <w:kern w:val="0"/>
                <w:sz w:val="21"/>
                <w:szCs w:val="21"/>
                <w:lang w:val="en-US" w:eastAsia="zh-CN" w:bidi="ar"/>
              </w:rPr>
              <w:t>4.外观结构：主吸能部分采用黄色喷涂，外部应有外扩型导向框架；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4195"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1"/>
                <w:szCs w:val="21"/>
              </w:rPr>
            </w:pPr>
            <w:r>
              <w:rPr>
                <w:rFonts w:hint="eastAsia" w:ascii="宋体" w:hAnsi="宋体" w:eastAsia="宋体" w:cs="宋体"/>
                <w:color w:val="000000"/>
                <w:kern w:val="0"/>
                <w:sz w:val="21"/>
                <w:szCs w:val="21"/>
                <w:lang w:val="en-US" w:eastAsia="zh-CN" w:bidi="ar"/>
              </w:rPr>
              <w:t>5.性能要求：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color w:val="000000" w:themeColor="text1"/>
                <w:sz w:val="21"/>
                <w:szCs w:val="21"/>
                <w14:textFill>
                  <w14:solidFill>
                    <w14:schemeClr w14:val="tx1"/>
                  </w14:solidFill>
                </w14:textFill>
              </w:rPr>
            </w:pPr>
            <w:r>
              <w:rPr>
                <w:rFonts w:hint="eastAsia" w:ascii="宋体" w:hAnsi="宋体" w:eastAsia="宋体" w:cs="宋体"/>
                <w:color w:val="000000"/>
                <w:kern w:val="0"/>
                <w:sz w:val="21"/>
                <w:szCs w:val="21"/>
                <w:lang w:val="en-US" w:eastAsia="zh-CN" w:bidi="ar"/>
              </w:rPr>
              <w:t>1）防撞缓冲</w:t>
            </w:r>
            <w:r>
              <w:rPr>
                <w:rFonts w:hint="eastAsia" w:ascii="宋体" w:hAnsi="宋体" w:eastAsia="宋体" w:cs="宋体"/>
                <w:color w:val="000000" w:themeColor="text1"/>
                <w:kern w:val="0"/>
                <w:sz w:val="21"/>
                <w:szCs w:val="21"/>
                <w:lang w:val="en-US" w:eastAsia="zh-CN" w:bidi="ar"/>
                <w14:textFill>
                  <w14:solidFill>
                    <w14:schemeClr w14:val="tx1"/>
                  </w14:solidFill>
                </w14:textFill>
              </w:rPr>
              <w:t>垫具有两级吸能功效；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2）</w:t>
            </w:r>
            <w:r>
              <w:rPr>
                <w:rFonts w:hint="eastAsia" w:ascii="宋体" w:hAnsi="宋体" w:eastAsia="宋体" w:cs="宋体"/>
                <w:color w:val="000000" w:themeColor="text1"/>
                <w:kern w:val="0"/>
                <w:sz w:val="21"/>
                <w:szCs w:val="21"/>
                <w:lang w:val="zh-CN" w:eastAsia="zh-CN" w:bidi="ar"/>
                <w14:textFill>
                  <w14:solidFill>
                    <w14:schemeClr w14:val="tx1"/>
                  </w14:solidFill>
                </w14:textFill>
              </w:rPr>
              <w:t>防撞缓冲垫设置导向框架发生碰撞时</w:t>
            </w:r>
            <w:r>
              <w:rPr>
                <w:rFonts w:hint="eastAsia" w:ascii="宋体" w:hAnsi="宋体" w:eastAsia="宋体" w:cs="宋体"/>
                <w:color w:val="000000" w:themeColor="text1"/>
                <w:kern w:val="0"/>
                <w:sz w:val="21"/>
                <w:szCs w:val="21"/>
                <w:lang w:val="en-US" w:eastAsia="zh-CN" w:bidi="ar"/>
                <w14:textFill>
                  <w14:solidFill>
                    <w14:schemeClr w14:val="tx1"/>
                  </w14:solidFill>
                </w14:textFill>
              </w:rPr>
              <w:t>所有吸能材料和变形部件均被有效包裹在防撞缓冲垫内；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3）诱导牌及防撞包设有行</w:t>
            </w:r>
            <w:r>
              <w:rPr>
                <w:rFonts w:hint="eastAsia" w:ascii="宋体" w:hAnsi="宋体" w:eastAsia="宋体" w:cs="宋体"/>
                <w:color w:val="000000"/>
                <w:kern w:val="0"/>
                <w:sz w:val="21"/>
                <w:szCs w:val="21"/>
                <w:lang w:val="en-US" w:eastAsia="zh-CN" w:bidi="ar"/>
              </w:rPr>
              <w:t>程开关。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04"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195"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6.防撞等级及证明材料：防撞缓冲装置应满足《MASH-2016》标准，提供国家级汽车质量监督检验中心出具的，防撞等级符合1100kg-100km/h 正撞、2270kg-100km/h正撞2270kg-100km/h偏撞、2270kg-100km/h偏斜撞四种测试工况，需提供检测报告；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4195"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7.质量保证：防撞缓冲垫应具有知名保险公司进行质量承保；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w:t>
            </w:r>
          </w:p>
        </w:tc>
        <w:tc>
          <w:tcPr>
            <w:tcW w:w="4195"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8.警示灯光要求：车前顶安装长排黄色爆闪警灯及100W 警报器，内含喇叭；防撞缓冲垫工作及行驶过程中均具备同步灯光系统（转向灯、刹车灯、行车灯、雾灯、示廓灯、侧标识灯等）；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4195"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9.防撞缓冲垫工作状态离地高度：≤320mm。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4195"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（三）警示系统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27</w:t>
            </w:r>
          </w:p>
        </w:tc>
        <w:tc>
          <w:tcPr>
            <w:tcW w:w="4195"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1.交通导向灯牌：配有交通导向灯牌，可以显示多种明确的指向标记，如向左、向右、禁止通行标志等。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28</w:t>
            </w:r>
          </w:p>
        </w:tc>
        <w:tc>
          <w:tcPr>
            <w:tcW w:w="4195"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2.显示屏：LED 显示屏，高度可调节。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4195"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b/>
                <w:bCs/>
                <w:color w:val="000000"/>
                <w:kern w:val="0"/>
                <w:sz w:val="21"/>
                <w:szCs w:val="21"/>
                <w:lang w:val="en-US" w:eastAsia="zh-CN" w:bidi="ar"/>
              </w:rPr>
              <w:t xml:space="preserve">（四）控制系统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4195" w:type="pct"/>
            <w:noWrap w:val="0"/>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1.设置要求：防撞缓冲垫以及 LED 显示屏的控制盒均应设置在驾驶室内。应配有无线遥控器方便车外使用。</w:t>
            </w:r>
          </w:p>
        </w:tc>
      </w:tr>
    </w:tbl>
    <w:p>
      <w:pPr>
        <w:rPr>
          <w:rFonts w:ascii="Times New Roman" w:hAnsi="Times New Roman" w:eastAsia="宋体" w:cs="Times New Roman"/>
          <w:highlight w:val="green"/>
        </w:rPr>
      </w:pPr>
    </w:p>
    <w:p>
      <w:pPr>
        <w:pStyle w:val="2"/>
        <w:rPr>
          <w:rFonts w:ascii="宋体" w:hAnsi="宋体" w:eastAsia="宋体" w:cs="宋体"/>
          <w:highlight w:val="green"/>
        </w:rPr>
      </w:pPr>
      <w:r>
        <w:rPr>
          <w:rFonts w:hint="eastAsia" w:ascii="宋体" w:hAnsi="宋体" w:eastAsia="宋体" w:cs="宋体"/>
          <w:highlight w:val="green"/>
        </w:rPr>
        <w:t>采购人后期有权要求响应人提供所投产品印证资料原件进行审核，如虚假响应，按废标处理。</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1.基本要求</w:t>
      </w:r>
      <w:bookmarkStart w:id="79" w:name="_Toc27869"/>
      <w:bookmarkStart w:id="80" w:name="_Toc3125"/>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产品应为经过国家行业主管部门认证的定型产品，列入《中华人民共和国发改委车辆生产企业及产品公告》，产品具备国家3C认证和环保认证。</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1.1 机械设计合理，制造工艺先进，安全装置齐全可靠。</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1.2 操作灵便，可维护性强。</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1.3 标准配置包括保证车辆设备正常工作所需的附件、工具和随机备件，并有装箱单。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1.4.随机配有车辆设备使用保养说明书、发动机保养说明书和零部件图册。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1.5所供车辆的漆面必须是原厂漆面、应清洁光亮；不得有脱漆、色差、划痕和瘪窝。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1.6车辆内部的座椅及其他内饰件应完整清洁．不得有划伤、污点，使用时应方便灵活。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1.7车辆内、外部的灯光应齐全、有效。</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1.8车辆在运行过程中不得有异常响声，制动装置(包括手制动)和转向应灵活、有效；其动力性能和经济性能应符合设计要求；尾气排放达到国Ⅵ及以上标准，噪声符合现行中国标准。</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1.9.响应人应主动协助使用方对车辆进行检验，查验发动机号、底盘号，交付所有证件、工具和主、副钥匙，并提供不少于 50 升的燃油。响应人应准确把握安徽当地机动车登记注册政策，所有车辆应具有国家规定的合法的上牌照手续，保证所有车辆能上牌照。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 xml:space="preserve">1.10 响应人应主动协助使用方做好新车辆的走合期保养，车辆发生故障时，报价人应主动与制造厂联系解决索赔问题。 </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1.11 车辆设备在使用过程中如零部件发生丢失和损坏，响应人应主动协助使用方操作人员按优惠价格配置原制造厂生产的优质零部件。</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1.12车辆交付为整车，含出厂标准配置和厂家选装配置（若买方要求且出厂不含）及特殊要求配置（若买方要求且厂家没有时可另购加装），所交付车辆制造日期必须为2023年1月1日以后。</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2.主要技术参数与要求</w:t>
      </w:r>
      <w:bookmarkEnd w:id="79"/>
      <w:bookmarkEnd w:id="80"/>
      <w:bookmarkStart w:id="81" w:name="_Toc25299"/>
      <w:bookmarkStart w:id="82" w:name="_Toc28261"/>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2.1 参见的内容，需对其中所列各项指标和要求逐项明确响应。</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2.2车底盘</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2．2．1在改装中，对底盘的主要结构不得进行伤害性改动，整车的动力性、安全性、经济性、操纵性能及环保性能等主要技术指标在同比条件下不得低于原底盘的相应指标。</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2.3其他说明</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2.3.1车辆配全套保养、维修专用工具，该项费用计入总报价中；</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2.3.2配备随机及满足车辆正常使用需要的备品、备件，该项费用计入投标总报价中；</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2.3．3除正常的灯光照明系统外尚须配带后照灯工作装置、闪烁警示灯等，该项费用计入投标总报价中；</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2.3.4提供发动机额定状态下燃油消耗率。</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3.技术服务范围及验收标准</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1、车辆规格性能均应符合或优于本标书的要求且为“零公里”新车，交货时每辆车须带≥50升燃油。</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2、厂家提供使用说明书及维修手册1套。</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3、厂家出示检验报告及合格证明。</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4、外观上灯光和仪表应灵敏、完整、清晰、准确，整机涂漆光泽均匀、无油漆脱落锈蚀、碰伤，附具齐全完整。</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5、各部件性能可靠，无渗漏，无异响，转动灵活，制动良好。</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6、验收期限：交货后一周内。</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4.培训要求基本服务要求</w:t>
      </w:r>
      <w:bookmarkEnd w:id="81"/>
      <w:bookmarkEnd w:id="82"/>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4.1讲解车辆安全操作规范、安全操作程序、用途、结构及维护和保养方法；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4.2指导甲方操作人员进行模拟操作及对不同事故的处理；</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4.3</w:t>
      </w:r>
      <w:bookmarkStart w:id="83" w:name="_Toc2123"/>
      <w:bookmarkStart w:id="84" w:name="_Toc29210"/>
      <w:r>
        <w:rPr>
          <w:rFonts w:hint="eastAsia" w:ascii="宋体" w:hAnsi="宋体" w:eastAsia="宋体" w:cs="宋体"/>
          <w:bCs/>
          <w:szCs w:val="21"/>
        </w:rPr>
        <w:t>培训计划：讲解安全操作规范、安全操作程序、用途、结构及维护和保养方法；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指导甲方操作人员进行模拟操作及对不同事故的处理；完善的培训计划，培训理论和实际操作培训，保证参训人员熟练操作，懂得日常维保及维修，熟悉各部件功能，能够发现故障，能够准确与厂家技术人员进行技术沟通的能力，机器使用必须培训到使用方学会为止。</w:t>
      </w:r>
    </w:p>
    <w:p>
      <w:pPr>
        <w:spacing w:line="360" w:lineRule="auto"/>
        <w:ind w:firstLine="420" w:firstLineChars="200"/>
        <w:rPr>
          <w:rFonts w:ascii="宋体" w:hAnsi="宋体" w:eastAsia="宋体" w:cs="宋体"/>
          <w:bCs/>
          <w:szCs w:val="21"/>
        </w:rPr>
      </w:pP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5.质保期及售后服务</w:t>
      </w:r>
      <w:bookmarkEnd w:id="83"/>
      <w:bookmarkEnd w:id="84"/>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5.1质保期从验收完成之日起按  年计算，若厂家公开承诺质保期更长的，质保期从其承诺；质保期自设备验收合格之日起计。</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5.2在质保期内，接到甲方服务信息后，2个小时内应做出明确回复，48小时内到达现场，72小时内处理完毕。</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5.3质保期内的维修工时及材料费用、维修人员的差旅费、宿费等由供方承担。</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5.4在质保期内，如设备或零部件因非人力因素出现故障而造成短期停用，则质保期和免费维修期相应顺延。</w:t>
      </w:r>
    </w:p>
    <w:p>
      <w:pPr>
        <w:spacing w:line="360" w:lineRule="auto"/>
        <w:ind w:firstLine="420" w:firstLineChars="200"/>
        <w:rPr>
          <w:rFonts w:ascii="宋体" w:hAnsi="宋体" w:eastAsia="宋体" w:cs="宋体"/>
          <w:bCs/>
          <w:szCs w:val="21"/>
        </w:rPr>
      </w:pPr>
      <w:r>
        <w:rPr>
          <w:rFonts w:hint="eastAsia" w:ascii="宋体" w:hAnsi="宋体" w:eastAsia="宋体" w:cs="宋体"/>
          <w:bCs/>
          <w:szCs w:val="21"/>
        </w:rPr>
        <w:t>5.5质保期外出现故障时，供方应按质保期内时效规定提供维修服务，以优惠价格收取材料费及人工费。</w:t>
      </w:r>
    </w:p>
    <w:p>
      <w:pPr>
        <w:spacing w:line="360" w:lineRule="auto"/>
        <w:ind w:firstLine="420" w:firstLineChars="200"/>
        <w:rPr>
          <w:rFonts w:ascii="宋体" w:hAnsi="宋体" w:eastAsia="宋体" w:cs="宋体"/>
          <w:szCs w:val="21"/>
        </w:rPr>
      </w:pPr>
      <w:r>
        <w:rPr>
          <w:rFonts w:hint="eastAsia" w:ascii="宋体" w:hAnsi="宋体" w:eastAsia="宋体" w:cs="宋体"/>
          <w:bCs/>
          <w:szCs w:val="21"/>
        </w:rPr>
        <w:t>5.6售后服务：完善售后服务计划，每年不少于两次质量回访，提供维护保养巡检报告。给予终身技术指导。</w:t>
      </w:r>
    </w:p>
    <w:p>
      <w:pPr>
        <w:pStyle w:val="11"/>
        <w:spacing w:line="360" w:lineRule="auto"/>
        <w:jc w:val="both"/>
        <w:rPr>
          <w:rFonts w:ascii="仿宋" w:hAnsi="仿宋" w:eastAsia="仿宋" w:cs="仿宋"/>
          <w:b/>
          <w:bCs/>
          <w:sz w:val="30"/>
          <w:szCs w:val="30"/>
        </w:rPr>
      </w:pPr>
    </w:p>
    <w:p>
      <w:pPr>
        <w:jc w:val="center"/>
        <w:rPr>
          <w:rFonts w:ascii="Times New Roman" w:hAnsi="Times New Roman" w:eastAsia="宋体" w:cs="Times New Roman"/>
          <w:b/>
          <w:bCs/>
          <w:sz w:val="36"/>
          <w:szCs w:val="36"/>
        </w:rPr>
      </w:pPr>
      <w:bookmarkStart w:id="85" w:name="_Toc9834_WPSOffice_Level1"/>
    </w:p>
    <w:p>
      <w:pPr>
        <w:widowControl/>
        <w:jc w:val="left"/>
        <w:rPr>
          <w:rFonts w:ascii="Times New Roman" w:hAnsi="Times New Roman" w:eastAsia="宋体" w:cs="Times New Roman"/>
          <w:b/>
          <w:bCs/>
          <w:sz w:val="36"/>
          <w:szCs w:val="36"/>
        </w:rPr>
      </w:pPr>
      <w:r>
        <w:rPr>
          <w:rFonts w:ascii="Times New Roman" w:hAnsi="Times New Roman" w:eastAsia="宋体" w:cs="Times New Roman"/>
          <w:b/>
          <w:bCs/>
          <w:sz w:val="36"/>
          <w:szCs w:val="36"/>
        </w:rPr>
        <w:br w:type="page"/>
      </w: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5"/>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6" w:name="_Toc17394_WPSOffice_Level1"/>
      <w:bookmarkStart w:id="87" w:name="_Toc27552_WPSOffice_Level1"/>
      <w:bookmarkStart w:id="88" w:name="_Toc1914_WPSOffice_Level1"/>
      <w:bookmarkStart w:id="89" w:name="_Toc5145_WPSOffice_Level1"/>
      <w:r>
        <w:rPr>
          <w:rFonts w:ascii="Times New Roman" w:hAnsi="Times New Roman" w:eastAsia="黑体" w:cs="Times New Roman"/>
          <w:sz w:val="50"/>
          <w:szCs w:val="50"/>
        </w:rPr>
        <w:t>响应文件</w:t>
      </w:r>
      <w:bookmarkEnd w:id="86"/>
      <w:bookmarkEnd w:id="87"/>
      <w:bookmarkEnd w:id="88"/>
      <w:bookmarkEnd w:id="8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0" w:name="_Toc25232_WPSOffice_Level2"/>
      <w:bookmarkStart w:id="91"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0"/>
      <w:bookmarkEnd w:id="9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2" w:name="_Toc31577_WPSOffice_Level2"/>
      <w:bookmarkStart w:id="93" w:name="_Toc20076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2"/>
      <w:bookmarkEnd w:id="93"/>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4" w:name="_Toc21974_WPSOffice_Level2"/>
      <w:bookmarkStart w:id="95" w:name="_Toc22351_WPSOffice_Level2"/>
      <w:r>
        <w:rPr>
          <w:rFonts w:ascii="Times New Roman" w:hAnsi="Times New Roman" w:eastAsia="黑体" w:cs="Times New Roman"/>
          <w:sz w:val="28"/>
          <w:szCs w:val="28"/>
        </w:rPr>
        <w:t>目录</w:t>
      </w:r>
      <w:bookmarkEnd w:id="94"/>
      <w:bookmarkEnd w:id="9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6" w:name="_Toc30529_WPSOffice_Level1"/>
      <w:bookmarkStart w:id="97" w:name="_Toc23368_WPSOffice_Level1"/>
      <w:bookmarkStart w:id="98" w:name="_Toc11424_WPSOffice_Level1"/>
      <w:bookmarkStart w:id="99" w:name="_Toc6353_WPSOffice_Level1"/>
      <w:bookmarkStart w:id="100" w:name="_Toc12670_WPSOffice_Level1"/>
      <w:r>
        <w:rPr>
          <w:rFonts w:ascii="Times New Roman" w:hAnsi="Times New Roman" w:eastAsia="黑体" w:cs="Times New Roman"/>
          <w:sz w:val="24"/>
        </w:rPr>
        <w:t>一、报价函</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31927_WPSOffice_Level1"/>
      <w:bookmarkStart w:id="102" w:name="_Toc21229_WPSOffice_Level1"/>
      <w:bookmarkStart w:id="103" w:name="_Toc5317_WPSOffice_Level1"/>
      <w:bookmarkStart w:id="104" w:name="_Toc32729_WPSOffice_Level1"/>
      <w:r>
        <w:rPr>
          <w:rFonts w:ascii="Times New Roman" w:hAnsi="Times New Roman" w:eastAsia="黑体" w:cs="Times New Roman"/>
          <w:sz w:val="24"/>
        </w:rPr>
        <w:t>二、法定代表人身份证明及授权委托书</w:t>
      </w:r>
      <w:bookmarkEnd w:id="101"/>
      <w:bookmarkEnd w:id="102"/>
      <w:bookmarkEnd w:id="103"/>
      <w:bookmarkEnd w:id="104"/>
    </w:p>
    <w:p>
      <w:pPr>
        <w:spacing w:line="440" w:lineRule="exact"/>
        <w:ind w:left="1619" w:leftChars="771"/>
        <w:rPr>
          <w:rFonts w:ascii="Times New Roman" w:hAnsi="Times New Roman" w:eastAsia="黑体" w:cs="Times New Roman"/>
          <w:sz w:val="24"/>
        </w:rPr>
      </w:pPr>
      <w:bookmarkStart w:id="105" w:name="_Toc29085_WPSOffice_Level1"/>
      <w:bookmarkStart w:id="106" w:name="_Toc4728_WPSOffice_Level1"/>
      <w:bookmarkStart w:id="107" w:name="_Toc25965_WPSOffice_Level1"/>
      <w:bookmarkStart w:id="108" w:name="_Toc23356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5"/>
      <w:bookmarkEnd w:id="106"/>
      <w:bookmarkEnd w:id="107"/>
      <w:bookmarkEnd w:id="108"/>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9" w:name="_Toc23744_WPSOffice_Level1"/>
      <w:bookmarkStart w:id="110" w:name="_Toc18964_WPSOffice_Level1"/>
      <w:bookmarkStart w:id="111" w:name="_Toc10608_WPSOffice_Level1"/>
      <w:bookmarkStart w:id="112" w:name="_Toc7453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9"/>
      <w:bookmarkEnd w:id="110"/>
      <w:bookmarkEnd w:id="111"/>
      <w:bookmarkEnd w:id="112"/>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3" w:name="_Toc1578_WPSOffice_Level1"/>
      <w:bookmarkStart w:id="114" w:name="_Toc19601_WPSOffice_Level1"/>
      <w:bookmarkStart w:id="115" w:name="_Toc9006_WPSOffice_Level1"/>
      <w:bookmarkStart w:id="116" w:name="_Toc23751_WPSOffice_Level1"/>
      <w:r>
        <w:rPr>
          <w:rFonts w:hint="eastAsia" w:ascii="Times New Roman" w:hAnsi="Times New Roman" w:eastAsia="黑体" w:cs="Times New Roman"/>
          <w:sz w:val="24"/>
        </w:rPr>
        <w:t>五、</w:t>
      </w:r>
      <w:bookmarkEnd w:id="113"/>
      <w:bookmarkEnd w:id="114"/>
      <w:bookmarkEnd w:id="115"/>
      <w:bookmarkEnd w:id="116"/>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7" w:name="_Toc24082_WPSOffice_Level1"/>
      <w:bookmarkStart w:id="118" w:name="_Toc31314_WPSOffice_Level1"/>
      <w:bookmarkStart w:id="119" w:name="_Toc24262_WPSOffice_Level1"/>
      <w:bookmarkStart w:id="120"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7"/>
      <w:bookmarkEnd w:id="118"/>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1" w:name="_Toc32220_WPSOffice_Level1"/>
      <w:bookmarkStart w:id="122" w:name="_Toc20930_WPSOffice_Level1"/>
      <w:r>
        <w:rPr>
          <w:rFonts w:hint="eastAsia" w:ascii="Times New Roman" w:hAnsi="Times New Roman" w:eastAsia="黑体" w:cs="Times New Roman"/>
          <w:sz w:val="24"/>
        </w:rPr>
        <w:t>七</w:t>
      </w:r>
      <w:bookmarkEnd w:id="119"/>
      <w:bookmarkEnd w:id="120"/>
      <w:bookmarkEnd w:id="121"/>
      <w:bookmarkEnd w:id="122"/>
      <w:bookmarkStart w:id="123" w:name="_Toc32648_WPSOffice_Level1"/>
      <w:bookmarkStart w:id="124" w:name="_Toc27403_WPSOffice_Level1"/>
      <w:bookmarkStart w:id="125" w:name="_Toc30273_WPSOffice_Level1"/>
      <w:bookmarkStart w:id="126" w:name="_Toc25804_WPSOffice_Level1"/>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7" w:name="_Toc32152_WPSOffice_Level1"/>
      <w:bookmarkStart w:id="128" w:name="_Toc30234_WPSOffice_Level1"/>
      <w:bookmarkStart w:id="129" w:name="_Toc23147_WPSOffice_Level1"/>
      <w:bookmarkStart w:id="130" w:name="_Toc4051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7"/>
      <w:bookmarkEnd w:id="128"/>
      <w:bookmarkEnd w:id="129"/>
      <w:bookmarkEnd w:id="130"/>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1" w:name="_Toc16988_WPSOffice_Level1"/>
      <w:bookmarkStart w:id="132" w:name="_Toc5885_WPSOffice_Level1"/>
      <w:r>
        <w:rPr>
          <w:rFonts w:hint="eastAsia" w:ascii="Times New Roman" w:hAnsi="Times New Roman" w:eastAsia="黑体" w:cs="Times New Roman"/>
          <w:sz w:val="24"/>
        </w:rPr>
        <w:t>九、其他材料</w:t>
      </w:r>
      <w:bookmarkEnd w:id="100"/>
      <w:bookmarkEnd w:id="131"/>
      <w:bookmarkEnd w:id="132"/>
    </w:p>
    <w:p>
      <w:pPr>
        <w:spacing w:line="440" w:lineRule="exact"/>
        <w:ind w:left="1619" w:leftChars="771"/>
        <w:rPr>
          <w:rFonts w:ascii="Times New Roman" w:hAnsi="Times New Roman" w:eastAsia="黑体" w:cs="Times New Roman"/>
          <w:sz w:val="24"/>
        </w:rPr>
      </w:pPr>
    </w:p>
    <w:p>
      <w:pPr>
        <w:numPr>
          <w:ilvl w:val="0"/>
          <w:numId w:val="5"/>
        </w:numPr>
        <w:spacing w:line="440" w:lineRule="exact"/>
        <w:jc w:val="center"/>
      </w:pPr>
      <w:r>
        <w:rPr>
          <w:rFonts w:ascii="Times New Roman" w:hAnsi="Times New Roman" w:eastAsia="黑体" w:cs="Times New Roman"/>
          <w:sz w:val="20"/>
          <w:szCs w:val="20"/>
        </w:rPr>
        <w:br w:type="page"/>
      </w:r>
      <w:bookmarkStart w:id="133" w:name="_Toc2765_WPSOffice_Level1"/>
      <w:bookmarkStart w:id="134" w:name="_Toc1687_WPSOffice_Level1"/>
      <w:bookmarkStart w:id="135" w:name="_Toc29399_WPSOffice_Level1"/>
      <w:bookmarkStart w:id="136" w:name="_Toc18312_WPSOffice_Level1"/>
      <w:bookmarkStart w:id="137" w:name="_Toc30031_WPSOffice_Level1"/>
      <w:r>
        <w:rPr>
          <w:rFonts w:ascii="Times New Roman" w:hAnsi="Times New Roman" w:eastAsia="黑体" w:cs="Times New Roman"/>
          <w:sz w:val="28"/>
          <w:szCs w:val="28"/>
        </w:rPr>
        <w:t>报价函</w:t>
      </w:r>
      <w:bookmarkEnd w:id="133"/>
      <w:bookmarkEnd w:id="134"/>
      <w:bookmarkEnd w:id="135"/>
      <w:bookmarkEnd w:id="136"/>
      <w:bookmarkEnd w:id="137"/>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rPr>
          <w:rFonts w:ascii="Times New Roman" w:hAnsi="Times New Roman" w:cs="Times New Roman"/>
          <w:sz w:val="24"/>
        </w:rPr>
      </w:pPr>
    </w:p>
    <w:p>
      <w:pPr>
        <w:pStyle w:val="4"/>
        <w:numPr>
          <w:ilvl w:val="0"/>
          <w:numId w:val="0"/>
        </w:numPr>
        <w:ind w:left="417" w:leftChars="0"/>
      </w:pPr>
    </w:p>
    <w:p>
      <w:pPr>
        <w:rPr>
          <w:rFonts w:ascii="Times New Roman" w:hAnsi="Times New Roman" w:cs="Times New Roman"/>
          <w:sz w:val="24"/>
        </w:rPr>
      </w:pPr>
    </w:p>
    <w:p>
      <w:pPr>
        <w:pStyle w:val="4"/>
        <w:numPr>
          <w:ilvl w:val="0"/>
          <w:numId w:val="0"/>
        </w:numPr>
        <w:ind w:left="417" w:leftChars="0"/>
      </w:pPr>
    </w:p>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8" w:name="_Toc14563_WPSOffice_Level1"/>
      <w:bookmarkStart w:id="139" w:name="_Toc18668_WPSOffice_Level1"/>
      <w:bookmarkStart w:id="140" w:name="_Toc32350_WPSOffice_Level1"/>
      <w:bookmarkStart w:id="141" w:name="_Toc12530_WPSOffice_Level1"/>
      <w:bookmarkStart w:id="142" w:name="_Toc8695_WPSOffice_Level1"/>
      <w:r>
        <w:rPr>
          <w:rFonts w:ascii="Times New Roman" w:hAnsi="Times New Roman" w:eastAsia="黑体" w:cs="Times New Roman"/>
          <w:sz w:val="28"/>
          <w:szCs w:val="28"/>
        </w:rPr>
        <w:t>二、法定代表人身份证明及授权委托书</w:t>
      </w:r>
      <w:bookmarkEnd w:id="138"/>
      <w:bookmarkEnd w:id="139"/>
      <w:bookmarkEnd w:id="140"/>
      <w:bookmarkEnd w:id="141"/>
      <w:bookmarkEnd w:id="14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3" w:name="_Toc20803_WPSOffice_Level2"/>
      <w:bookmarkStart w:id="144" w:name="_Toc5153_WPSOffice_Level2"/>
      <w:r>
        <w:rPr>
          <w:rFonts w:ascii="Times New Roman" w:hAnsi="Times New Roman" w:eastAsia="黑体" w:cs="Times New Roman"/>
          <w:bCs/>
          <w:sz w:val="28"/>
          <w:szCs w:val="28"/>
        </w:rPr>
        <w:t>2-1 法定代表人身份证明</w:t>
      </w:r>
      <w:bookmarkEnd w:id="143"/>
      <w:bookmarkEnd w:id="14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5" w:name="_Toc12035_WPSOffice_Level2"/>
      <w:bookmarkStart w:id="146"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5"/>
      <w:bookmarkEnd w:id="14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7" w:name="_Toc24567_WPSOffice_Level1"/>
      <w:bookmarkStart w:id="148" w:name="_Toc24530_WPSOffice_Level1"/>
      <w:bookmarkStart w:id="149" w:name="_Toc32085_WPSOffice_Level1"/>
      <w:bookmarkStart w:id="150" w:name="_Toc15186_WPSOffice_Level1"/>
      <w:bookmarkStart w:id="15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7"/>
      <w:bookmarkEnd w:id="148"/>
      <w:bookmarkEnd w:id="149"/>
      <w:bookmarkEnd w:id="150"/>
      <w:r>
        <w:rPr>
          <w:rFonts w:hint="eastAsia" w:ascii="Times New Roman" w:hAnsi="Times New Roman" w:eastAsia="黑体" w:cs="Times New Roman"/>
          <w:sz w:val="28"/>
          <w:szCs w:val="28"/>
        </w:rPr>
        <w:t>报价清单</w:t>
      </w:r>
      <w:bookmarkEnd w:id="151"/>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4"/>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515" w:type="dxa"/>
            <w:vAlign w:val="center"/>
          </w:tcPr>
          <w:p>
            <w:pPr>
              <w:spacing w:before="100" w:beforeAutospacing="1" w:after="100" w:afterAutospacing="1" w:line="360" w:lineRule="auto"/>
              <w:jc w:val="center"/>
              <w:rPr>
                <w:rFonts w:hint="eastAsia" w:ascii="仿宋" w:hAnsi="仿宋" w:eastAsia="仿宋" w:cs="宋体"/>
                <w:szCs w:val="21"/>
                <w:lang w:val="en-US" w:eastAsia="zh-CN"/>
              </w:rPr>
            </w:pPr>
            <w:r>
              <w:rPr>
                <w:rFonts w:hint="eastAsia" w:ascii="仿宋" w:hAnsi="仿宋" w:eastAsia="仿宋" w:cs="宋体"/>
                <w:szCs w:val="21"/>
                <w:lang w:val="en-US" w:eastAsia="zh-CN"/>
              </w:rPr>
              <w:t>2</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rPr>
        <w:t xml:space="preserve">  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日期：202</w:t>
      </w:r>
      <w:r>
        <w:rPr>
          <w:rFonts w:hint="eastAsia" w:ascii="仿宋" w:hAnsi="仿宋" w:eastAsia="仿宋"/>
          <w:sz w:val="30"/>
          <w:szCs w:val="30"/>
          <w:lang w:val="en-US" w:eastAsia="zh-CN"/>
        </w:rPr>
        <w:t>4</w:t>
      </w:r>
      <w:r>
        <w:rPr>
          <w:rFonts w:hint="eastAsia" w:ascii="仿宋" w:hAnsi="仿宋" w:eastAsia="仿宋"/>
          <w:sz w:val="30"/>
          <w:szCs w:val="30"/>
        </w:rPr>
        <w:t>年</w:t>
      </w:r>
      <w:r>
        <w:rPr>
          <w:rFonts w:hint="eastAsia" w:ascii="仿宋" w:hAnsi="仿宋" w:eastAsia="仿宋"/>
          <w:sz w:val="30"/>
          <w:szCs w:val="30"/>
          <w:lang w:val="en-US" w:eastAsia="zh-CN"/>
        </w:rPr>
        <w:t xml:space="preserve"> </w:t>
      </w:r>
      <w:r>
        <w:rPr>
          <w:rFonts w:hint="eastAsia" w:ascii="仿宋" w:hAnsi="仿宋" w:eastAsia="仿宋"/>
          <w:sz w:val="30"/>
          <w:szCs w:val="30"/>
        </w:rPr>
        <w:t>月</w:t>
      </w:r>
      <w:r>
        <w:rPr>
          <w:rFonts w:hint="eastAsia" w:ascii="仿宋" w:hAnsi="仿宋" w:eastAsia="仿宋"/>
          <w:sz w:val="30"/>
          <w:szCs w:val="30"/>
          <w:lang w:val="en-US" w:eastAsia="zh-CN"/>
        </w:rPr>
        <w:t xml:space="preserve"> </w:t>
      </w:r>
      <w:r>
        <w:rPr>
          <w:rFonts w:hint="eastAsia" w:ascii="仿宋" w:hAnsi="仿宋" w:eastAsia="仿宋"/>
          <w:sz w:val="30"/>
          <w:szCs w:val="30"/>
        </w:rPr>
        <w:t>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2" w:name="_Toc7738_WPSOffice_Level1"/>
      <w:bookmarkStart w:id="153" w:name="_Toc31445_WPSOffice_Level1"/>
      <w:bookmarkStart w:id="154" w:name="_Toc10436_WPSOffice_Level1"/>
      <w:bookmarkStart w:id="155" w:name="_Toc23545_WPSOffice_Level1"/>
      <w:bookmarkStart w:id="156" w:name="_Toc2281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7" w:name="_Toc27600_WPSOffice_Level2"/>
      <w:bookmarkStart w:id="158" w:name="_Toc2807_WPSOffice_Level2"/>
      <w:r>
        <w:rPr>
          <w:rFonts w:ascii="Times New Roman" w:hAnsi="Times New Roman" w:eastAsia="黑体" w:cs="Times New Roman"/>
          <w:sz w:val="28"/>
          <w:szCs w:val="28"/>
        </w:rPr>
        <w:t>供应商基本情况</w:t>
      </w:r>
      <w:bookmarkEnd w:id="152"/>
      <w:bookmarkEnd w:id="153"/>
      <w:bookmarkEnd w:id="154"/>
      <w:bookmarkEnd w:id="155"/>
      <w:bookmarkEnd w:id="156"/>
      <w:bookmarkEnd w:id="157"/>
      <w:bookmarkEnd w:id="158"/>
    </w:p>
    <w:p>
      <w:pPr>
        <w:topLinePunct/>
        <w:spacing w:line="440" w:lineRule="exact"/>
        <w:jc w:val="center"/>
        <w:rPr>
          <w:rFonts w:ascii="Times New Roman" w:hAnsi="Times New Roman" w:cs="Times New Roman"/>
          <w:sz w:val="23"/>
          <w:szCs w:val="23"/>
        </w:rPr>
      </w:pPr>
    </w:p>
    <w:tbl>
      <w:tblPr>
        <w:tblStyle w:val="14"/>
        <w:tblW w:w="938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31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7468"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312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312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312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312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7468"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7468"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7468"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9" w:name="_Toc18547_WPSOffice_Level1"/>
      <w:bookmarkStart w:id="160" w:name="_Toc1452_WPSOffice_Level1"/>
      <w:bookmarkStart w:id="161" w:name="_Toc5072_WPSOffice_Level1"/>
      <w:bookmarkStart w:id="162" w:name="_Toc3772_WPSOffice_Level1"/>
      <w:bookmarkStart w:id="163" w:name="_Toc19004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9"/>
      <w:bookmarkEnd w:id="160"/>
      <w:bookmarkEnd w:id="161"/>
      <w:bookmarkEnd w:id="162"/>
      <w:bookmarkEnd w:id="163"/>
    </w:p>
    <w:tbl>
      <w:tblPr>
        <w:tblStyle w:val="14"/>
        <w:tblW w:w="92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4"/>
        <w:gridCol w:w="6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64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64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644"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64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609"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644"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609"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textAlignment w:val="bottom"/>
        <w:rPr>
          <w:rFonts w:ascii="Times New Roman" w:hAnsi="Times New Roman" w:eastAsia="黑体" w:cs="Times New Roman"/>
          <w:sz w:val="20"/>
          <w:szCs w:val="20"/>
        </w:rPr>
      </w:pPr>
    </w:p>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hint="eastAsia" w:ascii="Times New Roman" w:hAnsi="Times New Roman" w:eastAsia="黑体" w:cs="Times New Roman"/>
          <w:szCs w:val="21"/>
          <w:u w:val="single"/>
          <w:lang w:val="en-US" w:eastAsia="zh-CN"/>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w:t>
      </w:r>
      <w:r>
        <w:rPr>
          <w:rFonts w:hint="eastAsia" w:ascii="Times New Roman" w:hAnsi="Times New Roman" w:eastAsia="黑体" w:cs="Times New Roman"/>
          <w:szCs w:val="21"/>
          <w:u w:val="single"/>
          <w:lang w:val="en-US" w:eastAsia="zh-CN"/>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4" w:name="_Toc9267_WPSOffice_Level1"/>
      <w:bookmarkStart w:id="165" w:name="_Toc5403_WPSOffice_Level1"/>
      <w:bookmarkStart w:id="166" w:name="_Toc30712_WPSOffice_Level1"/>
      <w:bookmarkStart w:id="167" w:name="_Toc12019_WPSOffice_Level1"/>
      <w:bookmarkStart w:id="168" w:name="_Toc3893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4"/>
      <w:bookmarkEnd w:id="165"/>
      <w:bookmarkEnd w:id="166"/>
      <w:bookmarkEnd w:id="167"/>
      <w:bookmarkEnd w:id="168"/>
    </w:p>
    <w:p>
      <w:pPr>
        <w:topLinePunct/>
        <w:spacing w:line="440" w:lineRule="exact"/>
        <w:rPr>
          <w:rFonts w:ascii="Times New Roman" w:hAnsi="Times New Roman" w:cs="Times New Roman"/>
          <w:bCs/>
          <w:sz w:val="23"/>
          <w:szCs w:val="23"/>
        </w:rPr>
      </w:pPr>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4"/>
        <w:tblpPr w:leftFromText="180" w:rightFromText="180" w:vertAnchor="text" w:horzAnchor="page" w:tblpXSpec="center" w:tblpY="835"/>
        <w:tblOverlap w:val="never"/>
        <w:tblW w:w="855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 方 要 求</w:t>
            </w:r>
          </w:p>
        </w:tc>
        <w:tc>
          <w:tcPr>
            <w:tcW w:w="1980" w:type="dxa"/>
            <w:tcBorders>
              <w:tl2br w:val="nil"/>
              <w:tr2bl w:val="nil"/>
            </w:tcBorders>
            <w:vAlign w:val="center"/>
          </w:tcPr>
          <w:p>
            <w:pPr>
              <w:adjustRightInd w:val="0"/>
              <w:snapToGrid w:val="0"/>
              <w:ind w:firstLine="420" w:firstLineChars="200"/>
              <w:rPr>
                <w:rFonts w:ascii="宋体" w:hAnsi="宋体"/>
                <w:szCs w:val="21"/>
              </w:rPr>
            </w:pPr>
            <w:r>
              <w:rPr>
                <w:rFonts w:hint="eastAsia" w:ascii="宋体" w:hAnsi="宋体"/>
                <w:szCs w:val="21"/>
              </w:rPr>
              <w:t>卖 方 响 应</w:t>
            </w:r>
          </w:p>
        </w:tc>
        <w:tc>
          <w:tcPr>
            <w:tcW w:w="1140" w:type="dxa"/>
            <w:tcBorders>
              <w:tl2br w:val="nil"/>
              <w:tr2bl w:val="nil"/>
            </w:tcBorders>
            <w:vAlign w:val="center"/>
          </w:tcPr>
          <w:p>
            <w:pPr>
              <w:adjustRightInd w:val="0"/>
              <w:snapToGrid w:val="0"/>
              <w:ind w:firstLine="210" w:firstLineChars="100"/>
              <w:jc w:val="center"/>
              <w:rPr>
                <w:rFonts w:ascii="宋体" w:hAnsi="宋体"/>
                <w:szCs w:val="21"/>
              </w:rPr>
            </w:pPr>
            <w:r>
              <w:rPr>
                <w:rFonts w:hint="eastAsia" w:ascii="宋体" w:hAnsi="宋体"/>
                <w:szCs w:val="21"/>
              </w:rPr>
              <w:t>偏 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ascii="宋体" w:hAnsi="宋体"/>
                <w:szCs w:val="21"/>
              </w:rPr>
            </w:pPr>
          </w:p>
        </w:tc>
        <w:tc>
          <w:tcPr>
            <w:tcW w:w="1140" w:type="dxa"/>
            <w:tcBorders>
              <w:tl2br w:val="nil"/>
              <w:tr2bl w:val="nil"/>
            </w:tcBorders>
          </w:tcPr>
          <w:p>
            <w:pPr>
              <w:adjustRightInd w:val="0"/>
              <w:snapToGrid w:val="0"/>
              <w:jc w:val="left"/>
              <w:rPr>
                <w:rFonts w:ascii="宋体" w:hAnsi="宋体"/>
                <w:szCs w:val="21"/>
              </w:rPr>
            </w:pPr>
          </w:p>
        </w:tc>
      </w:tr>
    </w:tbl>
    <w:p>
      <w:pPr>
        <w:pStyle w:val="2"/>
        <w:jc w:val="center"/>
        <w:rPr>
          <w:rFonts w:ascii="黑体" w:hAnsi="黑体" w:eastAsia="黑体" w:cs="黑体"/>
          <w:sz w:val="28"/>
          <w:szCs w:val="28"/>
        </w:rPr>
      </w:pPr>
    </w:p>
    <w:p>
      <w:pPr>
        <w:pStyle w:val="38"/>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2"/>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4"/>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宋体" w:hAnsi="宋体" w:eastAsia="宋体" w:cs="宋体"/>
          <w:sz w:val="28"/>
          <w:szCs w:val="28"/>
        </w:rPr>
      </w:pPr>
      <w:r>
        <w:rPr>
          <w:rFonts w:hint="eastAsia" w:ascii="宋体" w:hAnsi="宋体" w:eastAsia="宋体" w:cs="宋体"/>
          <w:sz w:val="28"/>
          <w:szCs w:val="28"/>
        </w:rPr>
        <w:t>备品备件清单</w:t>
      </w:r>
    </w:p>
    <w:p>
      <w:pPr>
        <w:pStyle w:val="2"/>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 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widowControl/>
        <w:jc w:val="left"/>
        <w:rPr>
          <w:rFonts w:ascii="宋体" w:hAnsi="宋体" w:eastAsia="宋体" w:cs="宋体"/>
          <w:sz w:val="28"/>
          <w:szCs w:val="28"/>
        </w:rPr>
      </w:pPr>
      <w:r>
        <w:rPr>
          <w:rFonts w:ascii="宋体" w:hAnsi="宋体" w:eastAsia="宋体" w:cs="宋体"/>
          <w:sz w:val="28"/>
          <w:szCs w:val="28"/>
        </w:rPr>
        <w:br w:type="page"/>
      </w:r>
    </w:p>
    <w:p>
      <w:pPr>
        <w:pStyle w:val="2"/>
        <w:rPr>
          <w:rFonts w:ascii="宋体" w:hAnsi="宋体" w:eastAsia="宋体" w:cs="宋体"/>
          <w:sz w:val="28"/>
          <w:szCs w:val="28"/>
        </w:rPr>
      </w:pPr>
      <w:r>
        <w:rPr>
          <w:rFonts w:hint="eastAsia" w:ascii="宋体" w:hAnsi="宋体" w:eastAsia="宋体" w:cs="宋体"/>
          <w:sz w:val="28"/>
          <w:szCs w:val="28"/>
        </w:rPr>
        <w:t>专用工具清单（如有）</w:t>
      </w:r>
    </w:p>
    <w:p>
      <w:pPr>
        <w:pStyle w:val="2"/>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10"/>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sectPr>
      <w:footerReference r:id="rId3" w:type="default"/>
      <w:pgSz w:w="11906" w:h="16838"/>
      <w:pgMar w:top="1440" w:right="1274"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ind w:firstLine="360"/>
                          </w:pPr>
                          <w:r>
                            <w:fldChar w:fldCharType="begin"/>
                          </w:r>
                          <w:r>
                            <w:instrText xml:space="preserve"> PAGE  \* MERGEFORMAT </w:instrText>
                          </w:r>
                          <w:r>
                            <w:fldChar w:fldCharType="separate"/>
                          </w:r>
                          <w:r>
                            <w:t>14</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9"/>
                      <w:ind w:firstLine="360"/>
                    </w:pPr>
                    <w:r>
                      <w:fldChar w:fldCharType="begin"/>
                    </w:r>
                    <w:r>
                      <w:instrText xml:space="preserve"> PAGE  \* MERGEFORMAT </w:instrText>
                    </w:r>
                    <w:r>
                      <w:fldChar w:fldCharType="separate"/>
                    </w:r>
                    <w:r>
                      <w:t>14</w:t>
                    </w:r>
                    <w:r>
                      <w:fldChar w:fldCharType="end"/>
                    </w:r>
                  </w:p>
                </w:txbxContent>
              </v:textbox>
            </v:shape>
          </w:pict>
        </mc:Fallback>
      </mc:AlternateConten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D074A01"/>
    <w:multiLevelType w:val="singleLevel"/>
    <w:tmpl w:val="2D074A01"/>
    <w:lvl w:ilvl="0" w:tentative="0">
      <w:start w:val="1"/>
      <w:numFmt w:val="chineseCounting"/>
      <w:suff w:val="nothing"/>
      <w:lvlText w:val="%1、"/>
      <w:lvlJc w:val="left"/>
      <w:rPr>
        <w:rFonts w:hint="eastAsia"/>
      </w:r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5">
    <w:nsid w:val="59988EA0"/>
    <w:multiLevelType w:val="singleLevel"/>
    <w:tmpl w:val="59988EA0"/>
    <w:lvl w:ilvl="0" w:tentative="0">
      <w:start w:val="2"/>
      <w:numFmt w:val="decimal"/>
      <w:suff w:val="nothing"/>
      <w:lvlText w:val="%1、"/>
      <w:lvlJc w:val="left"/>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2I3OGFmYzhhZmVlYzE5NzU4OTRlOWE3OTk4OWYifQ=="/>
  </w:docVars>
  <w:rsids>
    <w:rsidRoot w:val="00172A27"/>
    <w:rsid w:val="00037626"/>
    <w:rsid w:val="00040E4A"/>
    <w:rsid w:val="00043805"/>
    <w:rsid w:val="00056650"/>
    <w:rsid w:val="00065CDA"/>
    <w:rsid w:val="00075165"/>
    <w:rsid w:val="000A2B98"/>
    <w:rsid w:val="000C168A"/>
    <w:rsid w:val="000D014C"/>
    <w:rsid w:val="000E14E9"/>
    <w:rsid w:val="000E1A39"/>
    <w:rsid w:val="0010390C"/>
    <w:rsid w:val="00142D32"/>
    <w:rsid w:val="001571AF"/>
    <w:rsid w:val="00164875"/>
    <w:rsid w:val="00166493"/>
    <w:rsid w:val="00172A27"/>
    <w:rsid w:val="001C18CC"/>
    <w:rsid w:val="001C5613"/>
    <w:rsid w:val="001D3221"/>
    <w:rsid w:val="001D799F"/>
    <w:rsid w:val="00202C23"/>
    <w:rsid w:val="00205242"/>
    <w:rsid w:val="00205DBD"/>
    <w:rsid w:val="00210A1D"/>
    <w:rsid w:val="00240DA4"/>
    <w:rsid w:val="002519FD"/>
    <w:rsid w:val="00272678"/>
    <w:rsid w:val="00273CD8"/>
    <w:rsid w:val="00273E55"/>
    <w:rsid w:val="002B094E"/>
    <w:rsid w:val="002C2065"/>
    <w:rsid w:val="002F205F"/>
    <w:rsid w:val="00300F0C"/>
    <w:rsid w:val="003348DF"/>
    <w:rsid w:val="00346030"/>
    <w:rsid w:val="0035644A"/>
    <w:rsid w:val="003604F6"/>
    <w:rsid w:val="003626AF"/>
    <w:rsid w:val="003A6B16"/>
    <w:rsid w:val="003B6DCF"/>
    <w:rsid w:val="003C2CD1"/>
    <w:rsid w:val="00402DF9"/>
    <w:rsid w:val="00426A52"/>
    <w:rsid w:val="00427900"/>
    <w:rsid w:val="00444096"/>
    <w:rsid w:val="0046701F"/>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82FE9"/>
    <w:rsid w:val="007B706C"/>
    <w:rsid w:val="007F2DA2"/>
    <w:rsid w:val="007F3263"/>
    <w:rsid w:val="00816BCF"/>
    <w:rsid w:val="00825EF3"/>
    <w:rsid w:val="008267FA"/>
    <w:rsid w:val="0083784F"/>
    <w:rsid w:val="008766DD"/>
    <w:rsid w:val="00877226"/>
    <w:rsid w:val="008B21FA"/>
    <w:rsid w:val="008E1521"/>
    <w:rsid w:val="008E7426"/>
    <w:rsid w:val="009007E9"/>
    <w:rsid w:val="009130D0"/>
    <w:rsid w:val="00961304"/>
    <w:rsid w:val="00970C4D"/>
    <w:rsid w:val="009969A9"/>
    <w:rsid w:val="009D0BEC"/>
    <w:rsid w:val="009F0AA5"/>
    <w:rsid w:val="009F2F98"/>
    <w:rsid w:val="00A14222"/>
    <w:rsid w:val="00A21E2B"/>
    <w:rsid w:val="00A6283B"/>
    <w:rsid w:val="00A72F34"/>
    <w:rsid w:val="00A92D02"/>
    <w:rsid w:val="00AB18B6"/>
    <w:rsid w:val="00AB1EEA"/>
    <w:rsid w:val="00AB6453"/>
    <w:rsid w:val="00AC7918"/>
    <w:rsid w:val="00AE2C23"/>
    <w:rsid w:val="00AF1E53"/>
    <w:rsid w:val="00AF25A5"/>
    <w:rsid w:val="00AF4BEC"/>
    <w:rsid w:val="00AF539B"/>
    <w:rsid w:val="00B12A31"/>
    <w:rsid w:val="00B15858"/>
    <w:rsid w:val="00B303C2"/>
    <w:rsid w:val="00B50B49"/>
    <w:rsid w:val="00B93F76"/>
    <w:rsid w:val="00BA1CAE"/>
    <w:rsid w:val="00BB0DD9"/>
    <w:rsid w:val="00BE24EF"/>
    <w:rsid w:val="00BE6BC3"/>
    <w:rsid w:val="00C165B0"/>
    <w:rsid w:val="00C454A0"/>
    <w:rsid w:val="00C53E83"/>
    <w:rsid w:val="00C7141E"/>
    <w:rsid w:val="00C7194D"/>
    <w:rsid w:val="00C93B65"/>
    <w:rsid w:val="00CB1442"/>
    <w:rsid w:val="00CB4EAA"/>
    <w:rsid w:val="00CD6FE9"/>
    <w:rsid w:val="00CE2050"/>
    <w:rsid w:val="00CE443D"/>
    <w:rsid w:val="00D02E59"/>
    <w:rsid w:val="00D15733"/>
    <w:rsid w:val="00D1607D"/>
    <w:rsid w:val="00D249DD"/>
    <w:rsid w:val="00D60EAE"/>
    <w:rsid w:val="00D60F2E"/>
    <w:rsid w:val="00D934FC"/>
    <w:rsid w:val="00D94B3C"/>
    <w:rsid w:val="00DA1FD9"/>
    <w:rsid w:val="00DA4985"/>
    <w:rsid w:val="00DA7119"/>
    <w:rsid w:val="00DB4C2B"/>
    <w:rsid w:val="00DC5DF0"/>
    <w:rsid w:val="00DD18EB"/>
    <w:rsid w:val="00DE6371"/>
    <w:rsid w:val="00DF2B57"/>
    <w:rsid w:val="00DF7642"/>
    <w:rsid w:val="00E30A52"/>
    <w:rsid w:val="00E42AA9"/>
    <w:rsid w:val="00E53609"/>
    <w:rsid w:val="00E642DF"/>
    <w:rsid w:val="00E82434"/>
    <w:rsid w:val="00E90327"/>
    <w:rsid w:val="00E927FF"/>
    <w:rsid w:val="00EC62C6"/>
    <w:rsid w:val="00ED718A"/>
    <w:rsid w:val="00EF16FF"/>
    <w:rsid w:val="00EF7EF1"/>
    <w:rsid w:val="00F1488D"/>
    <w:rsid w:val="00F27C0A"/>
    <w:rsid w:val="00F463BE"/>
    <w:rsid w:val="00F562DA"/>
    <w:rsid w:val="00F56741"/>
    <w:rsid w:val="00F85CDA"/>
    <w:rsid w:val="00F92726"/>
    <w:rsid w:val="00F947D4"/>
    <w:rsid w:val="00FC3F61"/>
    <w:rsid w:val="00FE4671"/>
    <w:rsid w:val="00FF4C30"/>
    <w:rsid w:val="01057133"/>
    <w:rsid w:val="01227D26"/>
    <w:rsid w:val="01261938"/>
    <w:rsid w:val="01516AAC"/>
    <w:rsid w:val="015F01C5"/>
    <w:rsid w:val="016467FF"/>
    <w:rsid w:val="016B0268"/>
    <w:rsid w:val="016B560F"/>
    <w:rsid w:val="016F3AE4"/>
    <w:rsid w:val="01992D6C"/>
    <w:rsid w:val="01A05D40"/>
    <w:rsid w:val="01C47A83"/>
    <w:rsid w:val="01D26FB5"/>
    <w:rsid w:val="01D8197B"/>
    <w:rsid w:val="01DB4425"/>
    <w:rsid w:val="01F30A06"/>
    <w:rsid w:val="01F423F9"/>
    <w:rsid w:val="020E2058"/>
    <w:rsid w:val="02355837"/>
    <w:rsid w:val="024946D1"/>
    <w:rsid w:val="0250686A"/>
    <w:rsid w:val="02595534"/>
    <w:rsid w:val="02763446"/>
    <w:rsid w:val="028275B1"/>
    <w:rsid w:val="02836B8D"/>
    <w:rsid w:val="02A66735"/>
    <w:rsid w:val="02AA57BB"/>
    <w:rsid w:val="02AC7E7A"/>
    <w:rsid w:val="02B7452C"/>
    <w:rsid w:val="02C10E78"/>
    <w:rsid w:val="02C7126B"/>
    <w:rsid w:val="02D65DED"/>
    <w:rsid w:val="02DD1573"/>
    <w:rsid w:val="02E96424"/>
    <w:rsid w:val="02F44385"/>
    <w:rsid w:val="02FD6247"/>
    <w:rsid w:val="03125B78"/>
    <w:rsid w:val="03360A51"/>
    <w:rsid w:val="03380757"/>
    <w:rsid w:val="033E575A"/>
    <w:rsid w:val="036B6B95"/>
    <w:rsid w:val="038226D6"/>
    <w:rsid w:val="03960557"/>
    <w:rsid w:val="03B141EB"/>
    <w:rsid w:val="03C834BA"/>
    <w:rsid w:val="03D56ECF"/>
    <w:rsid w:val="03D630D0"/>
    <w:rsid w:val="03DF68F4"/>
    <w:rsid w:val="03ED0A2F"/>
    <w:rsid w:val="03F510F7"/>
    <w:rsid w:val="04063E45"/>
    <w:rsid w:val="040F04F5"/>
    <w:rsid w:val="040F0B7F"/>
    <w:rsid w:val="04211E08"/>
    <w:rsid w:val="04307FFF"/>
    <w:rsid w:val="043A35D9"/>
    <w:rsid w:val="04457667"/>
    <w:rsid w:val="04467F56"/>
    <w:rsid w:val="045A4B7B"/>
    <w:rsid w:val="045F773C"/>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A377A"/>
    <w:rsid w:val="0571047E"/>
    <w:rsid w:val="05770B44"/>
    <w:rsid w:val="057D77E1"/>
    <w:rsid w:val="05860158"/>
    <w:rsid w:val="05AE7642"/>
    <w:rsid w:val="05BC7068"/>
    <w:rsid w:val="05CB4EDA"/>
    <w:rsid w:val="05DC1624"/>
    <w:rsid w:val="060F639F"/>
    <w:rsid w:val="0616234B"/>
    <w:rsid w:val="061C6516"/>
    <w:rsid w:val="06206644"/>
    <w:rsid w:val="06233674"/>
    <w:rsid w:val="06356AB4"/>
    <w:rsid w:val="06361B7E"/>
    <w:rsid w:val="0637658C"/>
    <w:rsid w:val="06420BE5"/>
    <w:rsid w:val="064F44F5"/>
    <w:rsid w:val="066072C2"/>
    <w:rsid w:val="06750697"/>
    <w:rsid w:val="069B3C00"/>
    <w:rsid w:val="06CA1760"/>
    <w:rsid w:val="06ED25DE"/>
    <w:rsid w:val="06F57E5E"/>
    <w:rsid w:val="07085527"/>
    <w:rsid w:val="073A3426"/>
    <w:rsid w:val="0744651C"/>
    <w:rsid w:val="0757367C"/>
    <w:rsid w:val="07595CAC"/>
    <w:rsid w:val="076F25A8"/>
    <w:rsid w:val="07726F78"/>
    <w:rsid w:val="077508BA"/>
    <w:rsid w:val="077772CA"/>
    <w:rsid w:val="079543F1"/>
    <w:rsid w:val="07A10C59"/>
    <w:rsid w:val="07A45C35"/>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8E73475"/>
    <w:rsid w:val="08F04266"/>
    <w:rsid w:val="08F33D56"/>
    <w:rsid w:val="090B1608"/>
    <w:rsid w:val="09120680"/>
    <w:rsid w:val="09193D26"/>
    <w:rsid w:val="092C10F3"/>
    <w:rsid w:val="092D5CEC"/>
    <w:rsid w:val="09306E7A"/>
    <w:rsid w:val="094F558B"/>
    <w:rsid w:val="094F782B"/>
    <w:rsid w:val="095073FA"/>
    <w:rsid w:val="096B4234"/>
    <w:rsid w:val="0973495D"/>
    <w:rsid w:val="097C3D4B"/>
    <w:rsid w:val="099B5D1F"/>
    <w:rsid w:val="099C614A"/>
    <w:rsid w:val="09A07033"/>
    <w:rsid w:val="09A35E85"/>
    <w:rsid w:val="09A7522A"/>
    <w:rsid w:val="09B36429"/>
    <w:rsid w:val="09B83A16"/>
    <w:rsid w:val="0A132DA4"/>
    <w:rsid w:val="0A187F18"/>
    <w:rsid w:val="0A3641B0"/>
    <w:rsid w:val="0A3769B7"/>
    <w:rsid w:val="0A4977DA"/>
    <w:rsid w:val="0A5D06A7"/>
    <w:rsid w:val="0A605CF3"/>
    <w:rsid w:val="0A6564B9"/>
    <w:rsid w:val="0A6B7FB8"/>
    <w:rsid w:val="0A7D7D7B"/>
    <w:rsid w:val="0A944A5A"/>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EE2538"/>
    <w:rsid w:val="0CFF356B"/>
    <w:rsid w:val="0D1C692C"/>
    <w:rsid w:val="0D1F7FB3"/>
    <w:rsid w:val="0D235F12"/>
    <w:rsid w:val="0D371527"/>
    <w:rsid w:val="0D421699"/>
    <w:rsid w:val="0D491784"/>
    <w:rsid w:val="0D903958"/>
    <w:rsid w:val="0DA17B32"/>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A03D3"/>
    <w:rsid w:val="0E5B2709"/>
    <w:rsid w:val="0E617FB2"/>
    <w:rsid w:val="0EC101C2"/>
    <w:rsid w:val="0EC266A4"/>
    <w:rsid w:val="0EC70BFA"/>
    <w:rsid w:val="0ED43311"/>
    <w:rsid w:val="0EF511C8"/>
    <w:rsid w:val="0EF55437"/>
    <w:rsid w:val="0EF56A7A"/>
    <w:rsid w:val="0F084473"/>
    <w:rsid w:val="0F3638ED"/>
    <w:rsid w:val="0F3E7545"/>
    <w:rsid w:val="0F56600C"/>
    <w:rsid w:val="0F723405"/>
    <w:rsid w:val="0F751969"/>
    <w:rsid w:val="0FCC7A5D"/>
    <w:rsid w:val="0FDB62B2"/>
    <w:rsid w:val="0FE0087A"/>
    <w:rsid w:val="0FE034BE"/>
    <w:rsid w:val="100A243A"/>
    <w:rsid w:val="1015385D"/>
    <w:rsid w:val="102A44BB"/>
    <w:rsid w:val="103C5FE2"/>
    <w:rsid w:val="10406357"/>
    <w:rsid w:val="1055158F"/>
    <w:rsid w:val="10585AE3"/>
    <w:rsid w:val="107348E1"/>
    <w:rsid w:val="107B36EC"/>
    <w:rsid w:val="107D3033"/>
    <w:rsid w:val="109E6C9D"/>
    <w:rsid w:val="10BE733F"/>
    <w:rsid w:val="10C02202"/>
    <w:rsid w:val="10C56148"/>
    <w:rsid w:val="10EE14A7"/>
    <w:rsid w:val="10EF74F9"/>
    <w:rsid w:val="10F71714"/>
    <w:rsid w:val="11076A24"/>
    <w:rsid w:val="1109430C"/>
    <w:rsid w:val="110B15DD"/>
    <w:rsid w:val="112B09BB"/>
    <w:rsid w:val="112C0872"/>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F29CB"/>
    <w:rsid w:val="1301017A"/>
    <w:rsid w:val="1303728B"/>
    <w:rsid w:val="13117BFA"/>
    <w:rsid w:val="131D7C46"/>
    <w:rsid w:val="13217712"/>
    <w:rsid w:val="132F62D2"/>
    <w:rsid w:val="134A310C"/>
    <w:rsid w:val="137511FB"/>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24EDD"/>
    <w:rsid w:val="14DC7DC8"/>
    <w:rsid w:val="14E01A95"/>
    <w:rsid w:val="150A1554"/>
    <w:rsid w:val="153122C9"/>
    <w:rsid w:val="154F540A"/>
    <w:rsid w:val="155319D5"/>
    <w:rsid w:val="156752D2"/>
    <w:rsid w:val="157D0B57"/>
    <w:rsid w:val="158335ED"/>
    <w:rsid w:val="15833F89"/>
    <w:rsid w:val="1589623D"/>
    <w:rsid w:val="15A85EC8"/>
    <w:rsid w:val="15B36D47"/>
    <w:rsid w:val="15C36A4E"/>
    <w:rsid w:val="15DC3D8A"/>
    <w:rsid w:val="15E451EB"/>
    <w:rsid w:val="15E47854"/>
    <w:rsid w:val="15EB36FD"/>
    <w:rsid w:val="15F55102"/>
    <w:rsid w:val="15F64774"/>
    <w:rsid w:val="15F906E0"/>
    <w:rsid w:val="16057AB2"/>
    <w:rsid w:val="160F0395"/>
    <w:rsid w:val="16135A37"/>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1794F"/>
    <w:rsid w:val="178212C7"/>
    <w:rsid w:val="17B1375A"/>
    <w:rsid w:val="17CE6E77"/>
    <w:rsid w:val="17CE7E68"/>
    <w:rsid w:val="17F9165D"/>
    <w:rsid w:val="17FD5CFB"/>
    <w:rsid w:val="18117CBC"/>
    <w:rsid w:val="18147845"/>
    <w:rsid w:val="181C5AFE"/>
    <w:rsid w:val="18262728"/>
    <w:rsid w:val="18276115"/>
    <w:rsid w:val="182C4401"/>
    <w:rsid w:val="183F7286"/>
    <w:rsid w:val="18510A99"/>
    <w:rsid w:val="18555ABF"/>
    <w:rsid w:val="185F31B6"/>
    <w:rsid w:val="189B41AF"/>
    <w:rsid w:val="18C06D94"/>
    <w:rsid w:val="18E42505"/>
    <w:rsid w:val="18F85CC5"/>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3348FA"/>
    <w:rsid w:val="1A412867"/>
    <w:rsid w:val="1A443569"/>
    <w:rsid w:val="1A7F2B1F"/>
    <w:rsid w:val="1AC27301"/>
    <w:rsid w:val="1AC3476E"/>
    <w:rsid w:val="1AE05001"/>
    <w:rsid w:val="1AE16104"/>
    <w:rsid w:val="1AE9320B"/>
    <w:rsid w:val="1B0525A1"/>
    <w:rsid w:val="1B2136A5"/>
    <w:rsid w:val="1B3C333B"/>
    <w:rsid w:val="1B3D7B6B"/>
    <w:rsid w:val="1B7270A9"/>
    <w:rsid w:val="1B742B49"/>
    <w:rsid w:val="1B7A2038"/>
    <w:rsid w:val="1B7D4D66"/>
    <w:rsid w:val="1B830B8C"/>
    <w:rsid w:val="1B8B6665"/>
    <w:rsid w:val="1B8D1DE8"/>
    <w:rsid w:val="1BA07D6D"/>
    <w:rsid w:val="1BC458EB"/>
    <w:rsid w:val="1BC51582"/>
    <w:rsid w:val="1BCA6B98"/>
    <w:rsid w:val="1BDB4E23"/>
    <w:rsid w:val="1BEA478F"/>
    <w:rsid w:val="1BFF07B9"/>
    <w:rsid w:val="1C1447AF"/>
    <w:rsid w:val="1C1C4F1A"/>
    <w:rsid w:val="1C3542B7"/>
    <w:rsid w:val="1C3A1F70"/>
    <w:rsid w:val="1C4E3A72"/>
    <w:rsid w:val="1C591E3C"/>
    <w:rsid w:val="1C5A6DF2"/>
    <w:rsid w:val="1C8702AB"/>
    <w:rsid w:val="1CAD29F5"/>
    <w:rsid w:val="1CB17D58"/>
    <w:rsid w:val="1CD04682"/>
    <w:rsid w:val="1CDD7D1E"/>
    <w:rsid w:val="1CDE2D4A"/>
    <w:rsid w:val="1CDF3C59"/>
    <w:rsid w:val="1CE41B29"/>
    <w:rsid w:val="1CF6219E"/>
    <w:rsid w:val="1D011989"/>
    <w:rsid w:val="1D1C4C9A"/>
    <w:rsid w:val="1D2C0C7A"/>
    <w:rsid w:val="1D4318D2"/>
    <w:rsid w:val="1D435A83"/>
    <w:rsid w:val="1D502683"/>
    <w:rsid w:val="1D547061"/>
    <w:rsid w:val="1D582C93"/>
    <w:rsid w:val="1D6A0A81"/>
    <w:rsid w:val="1D81597C"/>
    <w:rsid w:val="1D8C172C"/>
    <w:rsid w:val="1D8F37AE"/>
    <w:rsid w:val="1D987A7A"/>
    <w:rsid w:val="1DA538B1"/>
    <w:rsid w:val="1DCA0187"/>
    <w:rsid w:val="1DEE3EE6"/>
    <w:rsid w:val="1DEF15E5"/>
    <w:rsid w:val="1DFB3480"/>
    <w:rsid w:val="1E076BA3"/>
    <w:rsid w:val="1E085723"/>
    <w:rsid w:val="1E2E506B"/>
    <w:rsid w:val="1E373F50"/>
    <w:rsid w:val="1E3B3E71"/>
    <w:rsid w:val="1E547E7A"/>
    <w:rsid w:val="1E844E18"/>
    <w:rsid w:val="1EA50B92"/>
    <w:rsid w:val="1EB01493"/>
    <w:rsid w:val="1EB45B84"/>
    <w:rsid w:val="1ED566BF"/>
    <w:rsid w:val="1EE97FFB"/>
    <w:rsid w:val="1F0079C8"/>
    <w:rsid w:val="1F021002"/>
    <w:rsid w:val="1F1D4BD7"/>
    <w:rsid w:val="1F1F765A"/>
    <w:rsid w:val="1F236DF7"/>
    <w:rsid w:val="1F382298"/>
    <w:rsid w:val="1F3C5FFF"/>
    <w:rsid w:val="1F5C044F"/>
    <w:rsid w:val="1F6966C8"/>
    <w:rsid w:val="1F6B6469"/>
    <w:rsid w:val="1F822B5D"/>
    <w:rsid w:val="1F837870"/>
    <w:rsid w:val="1F84184E"/>
    <w:rsid w:val="1F8841C9"/>
    <w:rsid w:val="1F942DC6"/>
    <w:rsid w:val="1F9F5217"/>
    <w:rsid w:val="1F9F7B9A"/>
    <w:rsid w:val="1FC653B9"/>
    <w:rsid w:val="1FC830F6"/>
    <w:rsid w:val="1FE50EDC"/>
    <w:rsid w:val="1FFD5491"/>
    <w:rsid w:val="1FFF49B3"/>
    <w:rsid w:val="20085EE1"/>
    <w:rsid w:val="200A49DA"/>
    <w:rsid w:val="2010615E"/>
    <w:rsid w:val="202E73DC"/>
    <w:rsid w:val="20350D4E"/>
    <w:rsid w:val="20433736"/>
    <w:rsid w:val="205B3A40"/>
    <w:rsid w:val="207C19DD"/>
    <w:rsid w:val="209A4709"/>
    <w:rsid w:val="20A32AD4"/>
    <w:rsid w:val="20A83190"/>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7F414A"/>
    <w:rsid w:val="21957A4E"/>
    <w:rsid w:val="21B209FB"/>
    <w:rsid w:val="21C307B3"/>
    <w:rsid w:val="21CE3C80"/>
    <w:rsid w:val="21D11C50"/>
    <w:rsid w:val="21E27CC2"/>
    <w:rsid w:val="21E82062"/>
    <w:rsid w:val="21FC1CC5"/>
    <w:rsid w:val="220F22ED"/>
    <w:rsid w:val="22266C58"/>
    <w:rsid w:val="22290B71"/>
    <w:rsid w:val="223920C8"/>
    <w:rsid w:val="2257773E"/>
    <w:rsid w:val="227535F4"/>
    <w:rsid w:val="22754149"/>
    <w:rsid w:val="228C37EE"/>
    <w:rsid w:val="228C6100"/>
    <w:rsid w:val="22A30ED5"/>
    <w:rsid w:val="22A75A54"/>
    <w:rsid w:val="22C75FB3"/>
    <w:rsid w:val="22D47DA3"/>
    <w:rsid w:val="22E43FB7"/>
    <w:rsid w:val="231432F6"/>
    <w:rsid w:val="23202A87"/>
    <w:rsid w:val="23211294"/>
    <w:rsid w:val="23291D55"/>
    <w:rsid w:val="23316C48"/>
    <w:rsid w:val="23331629"/>
    <w:rsid w:val="23533555"/>
    <w:rsid w:val="235C166E"/>
    <w:rsid w:val="2375570F"/>
    <w:rsid w:val="23870C5D"/>
    <w:rsid w:val="23921B99"/>
    <w:rsid w:val="23B048C6"/>
    <w:rsid w:val="23B23A20"/>
    <w:rsid w:val="23B5629D"/>
    <w:rsid w:val="23C16AD3"/>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713BB"/>
    <w:rsid w:val="25004DAD"/>
    <w:rsid w:val="2507530A"/>
    <w:rsid w:val="25080E67"/>
    <w:rsid w:val="252613C4"/>
    <w:rsid w:val="252C2973"/>
    <w:rsid w:val="252E461A"/>
    <w:rsid w:val="25374EF4"/>
    <w:rsid w:val="257D4C7B"/>
    <w:rsid w:val="25813229"/>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C54AE"/>
    <w:rsid w:val="26AE35E3"/>
    <w:rsid w:val="26CA2142"/>
    <w:rsid w:val="26CC5821"/>
    <w:rsid w:val="26D9686E"/>
    <w:rsid w:val="26E16978"/>
    <w:rsid w:val="26EA132C"/>
    <w:rsid w:val="270A6B81"/>
    <w:rsid w:val="271E5FEA"/>
    <w:rsid w:val="27224050"/>
    <w:rsid w:val="27335F39"/>
    <w:rsid w:val="27573233"/>
    <w:rsid w:val="276F5392"/>
    <w:rsid w:val="276F78A4"/>
    <w:rsid w:val="277F5371"/>
    <w:rsid w:val="27897256"/>
    <w:rsid w:val="279E6A72"/>
    <w:rsid w:val="27A22B9A"/>
    <w:rsid w:val="27BA7541"/>
    <w:rsid w:val="27E17707"/>
    <w:rsid w:val="27E21785"/>
    <w:rsid w:val="282B207E"/>
    <w:rsid w:val="2832016E"/>
    <w:rsid w:val="28332E82"/>
    <w:rsid w:val="28945AD5"/>
    <w:rsid w:val="28A17421"/>
    <w:rsid w:val="28CB2405"/>
    <w:rsid w:val="28CC65CA"/>
    <w:rsid w:val="28E31299"/>
    <w:rsid w:val="28E4564A"/>
    <w:rsid w:val="28FD4C25"/>
    <w:rsid w:val="29121767"/>
    <w:rsid w:val="2916341D"/>
    <w:rsid w:val="293529A7"/>
    <w:rsid w:val="29391889"/>
    <w:rsid w:val="294549B1"/>
    <w:rsid w:val="298E4667"/>
    <w:rsid w:val="299921F9"/>
    <w:rsid w:val="299E263B"/>
    <w:rsid w:val="29AC15DA"/>
    <w:rsid w:val="29C849C9"/>
    <w:rsid w:val="29E638F8"/>
    <w:rsid w:val="29FC40FB"/>
    <w:rsid w:val="2A1D6B49"/>
    <w:rsid w:val="2A433E72"/>
    <w:rsid w:val="2A4D466A"/>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4705D1"/>
    <w:rsid w:val="2B547EAB"/>
    <w:rsid w:val="2B752198"/>
    <w:rsid w:val="2B9677D0"/>
    <w:rsid w:val="2BA50E72"/>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452391"/>
    <w:rsid w:val="2E4A067E"/>
    <w:rsid w:val="2E5113E2"/>
    <w:rsid w:val="2E606FE3"/>
    <w:rsid w:val="2E704C0F"/>
    <w:rsid w:val="2E720D19"/>
    <w:rsid w:val="2E821BE2"/>
    <w:rsid w:val="2E9F5461"/>
    <w:rsid w:val="2EA91D25"/>
    <w:rsid w:val="2EBB1156"/>
    <w:rsid w:val="2EBF17FD"/>
    <w:rsid w:val="2EBF392D"/>
    <w:rsid w:val="2EC30534"/>
    <w:rsid w:val="2EC92087"/>
    <w:rsid w:val="2EDC19B7"/>
    <w:rsid w:val="2EED00C8"/>
    <w:rsid w:val="2EF11D09"/>
    <w:rsid w:val="2F107CF7"/>
    <w:rsid w:val="2F1C5807"/>
    <w:rsid w:val="2F21432D"/>
    <w:rsid w:val="2F266163"/>
    <w:rsid w:val="2F2E5C2B"/>
    <w:rsid w:val="2F4143DD"/>
    <w:rsid w:val="2F590537"/>
    <w:rsid w:val="2F7E56E8"/>
    <w:rsid w:val="2F8D4F86"/>
    <w:rsid w:val="2FB62E8D"/>
    <w:rsid w:val="30045BF1"/>
    <w:rsid w:val="300C6F30"/>
    <w:rsid w:val="302A1EA4"/>
    <w:rsid w:val="302F697C"/>
    <w:rsid w:val="303B074A"/>
    <w:rsid w:val="303D10B7"/>
    <w:rsid w:val="30465DAA"/>
    <w:rsid w:val="30556F21"/>
    <w:rsid w:val="30620D79"/>
    <w:rsid w:val="306F405F"/>
    <w:rsid w:val="307716A4"/>
    <w:rsid w:val="30791531"/>
    <w:rsid w:val="307A0518"/>
    <w:rsid w:val="309D35EF"/>
    <w:rsid w:val="30B66302"/>
    <w:rsid w:val="30B751B3"/>
    <w:rsid w:val="30CE0CEB"/>
    <w:rsid w:val="30E35EBD"/>
    <w:rsid w:val="30EF615D"/>
    <w:rsid w:val="30F614B6"/>
    <w:rsid w:val="30FD3114"/>
    <w:rsid w:val="30FD66FE"/>
    <w:rsid w:val="31254E86"/>
    <w:rsid w:val="31393383"/>
    <w:rsid w:val="317132B7"/>
    <w:rsid w:val="31995AF6"/>
    <w:rsid w:val="31B10180"/>
    <w:rsid w:val="31B168FB"/>
    <w:rsid w:val="31C110EE"/>
    <w:rsid w:val="31CB160E"/>
    <w:rsid w:val="31D81033"/>
    <w:rsid w:val="31DC0B3C"/>
    <w:rsid w:val="31DC7938"/>
    <w:rsid w:val="31ED64D1"/>
    <w:rsid w:val="31F42769"/>
    <w:rsid w:val="31F6028F"/>
    <w:rsid w:val="32006559"/>
    <w:rsid w:val="321B7CF6"/>
    <w:rsid w:val="32232959"/>
    <w:rsid w:val="323374C7"/>
    <w:rsid w:val="323B5665"/>
    <w:rsid w:val="323D1E9E"/>
    <w:rsid w:val="32472149"/>
    <w:rsid w:val="324803BF"/>
    <w:rsid w:val="324C5552"/>
    <w:rsid w:val="32560357"/>
    <w:rsid w:val="32722A86"/>
    <w:rsid w:val="32755658"/>
    <w:rsid w:val="32A15D40"/>
    <w:rsid w:val="32BC0383"/>
    <w:rsid w:val="32C23720"/>
    <w:rsid w:val="32D33D11"/>
    <w:rsid w:val="32E2300A"/>
    <w:rsid w:val="33035B90"/>
    <w:rsid w:val="33100AE4"/>
    <w:rsid w:val="332334E6"/>
    <w:rsid w:val="333052D8"/>
    <w:rsid w:val="3356659E"/>
    <w:rsid w:val="33772A90"/>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CF5AFD"/>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7730B"/>
    <w:rsid w:val="364A6DFC"/>
    <w:rsid w:val="36533F02"/>
    <w:rsid w:val="3659632C"/>
    <w:rsid w:val="36625EF3"/>
    <w:rsid w:val="36655978"/>
    <w:rsid w:val="368558B3"/>
    <w:rsid w:val="36876E6A"/>
    <w:rsid w:val="36970279"/>
    <w:rsid w:val="36980DD0"/>
    <w:rsid w:val="36BD5820"/>
    <w:rsid w:val="36C0156D"/>
    <w:rsid w:val="36CF4BC1"/>
    <w:rsid w:val="36D06F22"/>
    <w:rsid w:val="36F27910"/>
    <w:rsid w:val="3707369A"/>
    <w:rsid w:val="370C460C"/>
    <w:rsid w:val="37117618"/>
    <w:rsid w:val="371B6C62"/>
    <w:rsid w:val="372D17C3"/>
    <w:rsid w:val="373B0A3F"/>
    <w:rsid w:val="375508FE"/>
    <w:rsid w:val="37592A8C"/>
    <w:rsid w:val="375F0F03"/>
    <w:rsid w:val="37702AE4"/>
    <w:rsid w:val="377A75FB"/>
    <w:rsid w:val="379940D4"/>
    <w:rsid w:val="379B22F5"/>
    <w:rsid w:val="379C24D3"/>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F73DC"/>
    <w:rsid w:val="399A59A4"/>
    <w:rsid w:val="399C65C7"/>
    <w:rsid w:val="39C01BBA"/>
    <w:rsid w:val="39C731AB"/>
    <w:rsid w:val="39FE2850"/>
    <w:rsid w:val="3A085BAA"/>
    <w:rsid w:val="3A185D33"/>
    <w:rsid w:val="3A2C2104"/>
    <w:rsid w:val="3A3B099E"/>
    <w:rsid w:val="3A661D2A"/>
    <w:rsid w:val="3A967177"/>
    <w:rsid w:val="3A9D43B8"/>
    <w:rsid w:val="3AB3450A"/>
    <w:rsid w:val="3AB73885"/>
    <w:rsid w:val="3AD155B7"/>
    <w:rsid w:val="3AD41A3C"/>
    <w:rsid w:val="3AD66AD0"/>
    <w:rsid w:val="3AF07408"/>
    <w:rsid w:val="3AF65008"/>
    <w:rsid w:val="3AFA4DDD"/>
    <w:rsid w:val="3B2D1CE0"/>
    <w:rsid w:val="3B2E1991"/>
    <w:rsid w:val="3B41700C"/>
    <w:rsid w:val="3B4336D5"/>
    <w:rsid w:val="3B824942"/>
    <w:rsid w:val="3B862458"/>
    <w:rsid w:val="3B8F4DF4"/>
    <w:rsid w:val="3B915C89"/>
    <w:rsid w:val="3BBE774B"/>
    <w:rsid w:val="3BCA36FC"/>
    <w:rsid w:val="3BD60C4D"/>
    <w:rsid w:val="3BDB75C3"/>
    <w:rsid w:val="3BFB140F"/>
    <w:rsid w:val="3C330E21"/>
    <w:rsid w:val="3C6B2863"/>
    <w:rsid w:val="3C7E046A"/>
    <w:rsid w:val="3CA2060D"/>
    <w:rsid w:val="3CC669C0"/>
    <w:rsid w:val="3CC742EA"/>
    <w:rsid w:val="3CCA034E"/>
    <w:rsid w:val="3CCC78C1"/>
    <w:rsid w:val="3CEA50ED"/>
    <w:rsid w:val="3D191420"/>
    <w:rsid w:val="3D4445A5"/>
    <w:rsid w:val="3D4729E2"/>
    <w:rsid w:val="3D870377"/>
    <w:rsid w:val="3D9B1CEB"/>
    <w:rsid w:val="3DB644C5"/>
    <w:rsid w:val="3DBA3955"/>
    <w:rsid w:val="3DC64303"/>
    <w:rsid w:val="3DFD18E3"/>
    <w:rsid w:val="3E037C03"/>
    <w:rsid w:val="3E126C05"/>
    <w:rsid w:val="3E1F0B58"/>
    <w:rsid w:val="3E234CC4"/>
    <w:rsid w:val="3E276AFF"/>
    <w:rsid w:val="3E321A01"/>
    <w:rsid w:val="3E3454D4"/>
    <w:rsid w:val="3E430296"/>
    <w:rsid w:val="3E4E3D1C"/>
    <w:rsid w:val="3E546A69"/>
    <w:rsid w:val="3E553473"/>
    <w:rsid w:val="3E56477C"/>
    <w:rsid w:val="3E755BE7"/>
    <w:rsid w:val="3E775349"/>
    <w:rsid w:val="3E7E2662"/>
    <w:rsid w:val="3E9D5BD9"/>
    <w:rsid w:val="3E9F013E"/>
    <w:rsid w:val="3E9F4895"/>
    <w:rsid w:val="3EA024B3"/>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44992"/>
    <w:rsid w:val="40271F5C"/>
    <w:rsid w:val="40273D0A"/>
    <w:rsid w:val="4036290E"/>
    <w:rsid w:val="405F54C4"/>
    <w:rsid w:val="407056B1"/>
    <w:rsid w:val="407D2E33"/>
    <w:rsid w:val="408771D7"/>
    <w:rsid w:val="40891574"/>
    <w:rsid w:val="408E1FCA"/>
    <w:rsid w:val="408E3D89"/>
    <w:rsid w:val="409059C0"/>
    <w:rsid w:val="409C64A6"/>
    <w:rsid w:val="40AF5E8F"/>
    <w:rsid w:val="40BF2021"/>
    <w:rsid w:val="40E165AE"/>
    <w:rsid w:val="40FA31CC"/>
    <w:rsid w:val="40FD44FE"/>
    <w:rsid w:val="410A5564"/>
    <w:rsid w:val="410D54FF"/>
    <w:rsid w:val="411D3F96"/>
    <w:rsid w:val="412233A4"/>
    <w:rsid w:val="413E1BC3"/>
    <w:rsid w:val="41477A67"/>
    <w:rsid w:val="414810A7"/>
    <w:rsid w:val="41581702"/>
    <w:rsid w:val="41614FF9"/>
    <w:rsid w:val="4173688E"/>
    <w:rsid w:val="417807D9"/>
    <w:rsid w:val="417967E7"/>
    <w:rsid w:val="418D27F5"/>
    <w:rsid w:val="41954C58"/>
    <w:rsid w:val="4196330C"/>
    <w:rsid w:val="41AC141A"/>
    <w:rsid w:val="41C64205"/>
    <w:rsid w:val="41EB3A9E"/>
    <w:rsid w:val="41EC5D77"/>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8C0A54"/>
    <w:rsid w:val="43986FE0"/>
    <w:rsid w:val="439873F8"/>
    <w:rsid w:val="439E5AF5"/>
    <w:rsid w:val="43B81849"/>
    <w:rsid w:val="43C646E2"/>
    <w:rsid w:val="43CC52F4"/>
    <w:rsid w:val="43D9610F"/>
    <w:rsid w:val="43E04637"/>
    <w:rsid w:val="43FA55C2"/>
    <w:rsid w:val="441270B5"/>
    <w:rsid w:val="44190C7C"/>
    <w:rsid w:val="4422096E"/>
    <w:rsid w:val="444157D5"/>
    <w:rsid w:val="44466E54"/>
    <w:rsid w:val="444A78E1"/>
    <w:rsid w:val="446D66E7"/>
    <w:rsid w:val="44833717"/>
    <w:rsid w:val="44A5291F"/>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425862"/>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EE5581"/>
    <w:rsid w:val="46FF778E"/>
    <w:rsid w:val="4702061D"/>
    <w:rsid w:val="470E352E"/>
    <w:rsid w:val="470F50AF"/>
    <w:rsid w:val="471A08BE"/>
    <w:rsid w:val="471C3E9C"/>
    <w:rsid w:val="472D380E"/>
    <w:rsid w:val="473B610C"/>
    <w:rsid w:val="47407861"/>
    <w:rsid w:val="47460F19"/>
    <w:rsid w:val="4756581D"/>
    <w:rsid w:val="477E34E4"/>
    <w:rsid w:val="4791799F"/>
    <w:rsid w:val="479428F1"/>
    <w:rsid w:val="47971775"/>
    <w:rsid w:val="47B13E6B"/>
    <w:rsid w:val="47B63522"/>
    <w:rsid w:val="47BE0861"/>
    <w:rsid w:val="47C94EE6"/>
    <w:rsid w:val="47CC5BBD"/>
    <w:rsid w:val="47DE55F6"/>
    <w:rsid w:val="47ED3CA2"/>
    <w:rsid w:val="4801373A"/>
    <w:rsid w:val="4803315E"/>
    <w:rsid w:val="480A0199"/>
    <w:rsid w:val="481467FD"/>
    <w:rsid w:val="482F079F"/>
    <w:rsid w:val="483010A5"/>
    <w:rsid w:val="48334E31"/>
    <w:rsid w:val="4839790E"/>
    <w:rsid w:val="483C0786"/>
    <w:rsid w:val="484C07B1"/>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700CFC"/>
    <w:rsid w:val="497C39F6"/>
    <w:rsid w:val="498D060A"/>
    <w:rsid w:val="499C3073"/>
    <w:rsid w:val="49BC5471"/>
    <w:rsid w:val="49DA04FD"/>
    <w:rsid w:val="49DA5D92"/>
    <w:rsid w:val="49DD0F1D"/>
    <w:rsid w:val="49E01AD7"/>
    <w:rsid w:val="49E20D34"/>
    <w:rsid w:val="4A1324CB"/>
    <w:rsid w:val="4A1677E0"/>
    <w:rsid w:val="4A1A4DC2"/>
    <w:rsid w:val="4A257DD0"/>
    <w:rsid w:val="4A38409F"/>
    <w:rsid w:val="4A4B510A"/>
    <w:rsid w:val="4A504CF6"/>
    <w:rsid w:val="4A6E2D05"/>
    <w:rsid w:val="4A937223"/>
    <w:rsid w:val="4AA46683"/>
    <w:rsid w:val="4AAE39A4"/>
    <w:rsid w:val="4AB770A4"/>
    <w:rsid w:val="4ABD361B"/>
    <w:rsid w:val="4AC30180"/>
    <w:rsid w:val="4AC54B94"/>
    <w:rsid w:val="4ADC49B4"/>
    <w:rsid w:val="4AE271AB"/>
    <w:rsid w:val="4B0801BB"/>
    <w:rsid w:val="4B0938BE"/>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51523E"/>
    <w:rsid w:val="4C6961B4"/>
    <w:rsid w:val="4C7622A1"/>
    <w:rsid w:val="4C795EA4"/>
    <w:rsid w:val="4C9512AC"/>
    <w:rsid w:val="4CBF4CEF"/>
    <w:rsid w:val="4CC254E6"/>
    <w:rsid w:val="4CCF550D"/>
    <w:rsid w:val="4CD527C8"/>
    <w:rsid w:val="4CD74D54"/>
    <w:rsid w:val="4CDC10F5"/>
    <w:rsid w:val="4CE67327"/>
    <w:rsid w:val="4CE8607D"/>
    <w:rsid w:val="4CEB61EE"/>
    <w:rsid w:val="4CEB6BD1"/>
    <w:rsid w:val="4CFF0540"/>
    <w:rsid w:val="4D093BCF"/>
    <w:rsid w:val="4D135D35"/>
    <w:rsid w:val="4D1B4BF6"/>
    <w:rsid w:val="4D267823"/>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181B0A"/>
    <w:rsid w:val="4E4E3891"/>
    <w:rsid w:val="4E544E21"/>
    <w:rsid w:val="4E5959D6"/>
    <w:rsid w:val="4E7B3B9E"/>
    <w:rsid w:val="4E7B594C"/>
    <w:rsid w:val="4E7B64C2"/>
    <w:rsid w:val="4E7F0372"/>
    <w:rsid w:val="4E9D1C1C"/>
    <w:rsid w:val="4E9F0C0D"/>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39019E"/>
    <w:rsid w:val="503B2799"/>
    <w:rsid w:val="504D50C7"/>
    <w:rsid w:val="50527900"/>
    <w:rsid w:val="505A1FF4"/>
    <w:rsid w:val="505A55CD"/>
    <w:rsid w:val="50695D0B"/>
    <w:rsid w:val="50717C95"/>
    <w:rsid w:val="507E1E70"/>
    <w:rsid w:val="50860FF0"/>
    <w:rsid w:val="50CE2F73"/>
    <w:rsid w:val="50EA0B67"/>
    <w:rsid w:val="510D5690"/>
    <w:rsid w:val="51164D21"/>
    <w:rsid w:val="512348E8"/>
    <w:rsid w:val="512B60B4"/>
    <w:rsid w:val="513118E7"/>
    <w:rsid w:val="515E2842"/>
    <w:rsid w:val="51694722"/>
    <w:rsid w:val="5190720E"/>
    <w:rsid w:val="51BF09E2"/>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40A11ED"/>
    <w:rsid w:val="543C6045"/>
    <w:rsid w:val="544113E6"/>
    <w:rsid w:val="54442A7B"/>
    <w:rsid w:val="54577048"/>
    <w:rsid w:val="545C4EB6"/>
    <w:rsid w:val="546724CF"/>
    <w:rsid w:val="54721B42"/>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424DE3"/>
    <w:rsid w:val="56701B0F"/>
    <w:rsid w:val="568850AA"/>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C35D9A"/>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F04A80"/>
    <w:rsid w:val="59F519D4"/>
    <w:rsid w:val="59F85C2D"/>
    <w:rsid w:val="5A050A6E"/>
    <w:rsid w:val="5A2630E3"/>
    <w:rsid w:val="5A307436"/>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065934"/>
    <w:rsid w:val="5C337866"/>
    <w:rsid w:val="5C762B57"/>
    <w:rsid w:val="5C7D3080"/>
    <w:rsid w:val="5C7D4F86"/>
    <w:rsid w:val="5C7E0D7E"/>
    <w:rsid w:val="5C864410"/>
    <w:rsid w:val="5CA409DB"/>
    <w:rsid w:val="5CB30722"/>
    <w:rsid w:val="5CC311B1"/>
    <w:rsid w:val="5CC6567E"/>
    <w:rsid w:val="5CD77A98"/>
    <w:rsid w:val="5CF408B8"/>
    <w:rsid w:val="5CF47502"/>
    <w:rsid w:val="5CF60A0C"/>
    <w:rsid w:val="5D2106CA"/>
    <w:rsid w:val="5D274F13"/>
    <w:rsid w:val="5D3E0BA9"/>
    <w:rsid w:val="5D53665D"/>
    <w:rsid w:val="5D690E03"/>
    <w:rsid w:val="5D6935B6"/>
    <w:rsid w:val="5D8B2FDB"/>
    <w:rsid w:val="5D980AE0"/>
    <w:rsid w:val="5D9C768D"/>
    <w:rsid w:val="5DBC388C"/>
    <w:rsid w:val="5DC32F9C"/>
    <w:rsid w:val="5DCF2540"/>
    <w:rsid w:val="5DDE0A36"/>
    <w:rsid w:val="5DE9733D"/>
    <w:rsid w:val="5DED6180"/>
    <w:rsid w:val="5E021BE6"/>
    <w:rsid w:val="5E08794E"/>
    <w:rsid w:val="5E0D6B87"/>
    <w:rsid w:val="5E3677AF"/>
    <w:rsid w:val="5E4C0BFA"/>
    <w:rsid w:val="5E523044"/>
    <w:rsid w:val="5E85744A"/>
    <w:rsid w:val="5E8B1BDC"/>
    <w:rsid w:val="5E9D79FE"/>
    <w:rsid w:val="5EA4369B"/>
    <w:rsid w:val="5EBB3B43"/>
    <w:rsid w:val="5EE74071"/>
    <w:rsid w:val="5F0F7B0F"/>
    <w:rsid w:val="5F1D3C82"/>
    <w:rsid w:val="5F341672"/>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9E2BF4"/>
    <w:rsid w:val="60A14466"/>
    <w:rsid w:val="60B50C23"/>
    <w:rsid w:val="60CC64DC"/>
    <w:rsid w:val="60EA7638"/>
    <w:rsid w:val="6107582C"/>
    <w:rsid w:val="612F392E"/>
    <w:rsid w:val="613D0256"/>
    <w:rsid w:val="614C7A15"/>
    <w:rsid w:val="618B4124"/>
    <w:rsid w:val="618D3BCD"/>
    <w:rsid w:val="61AA5A61"/>
    <w:rsid w:val="61C96577"/>
    <w:rsid w:val="61D740F7"/>
    <w:rsid w:val="61E635CD"/>
    <w:rsid w:val="6208709F"/>
    <w:rsid w:val="6228378C"/>
    <w:rsid w:val="6228683D"/>
    <w:rsid w:val="622D3184"/>
    <w:rsid w:val="62410803"/>
    <w:rsid w:val="625B5CA9"/>
    <w:rsid w:val="62756CE9"/>
    <w:rsid w:val="6294722E"/>
    <w:rsid w:val="62E56056"/>
    <w:rsid w:val="63003347"/>
    <w:rsid w:val="63023C14"/>
    <w:rsid w:val="63193A39"/>
    <w:rsid w:val="6320666B"/>
    <w:rsid w:val="63295801"/>
    <w:rsid w:val="63471E49"/>
    <w:rsid w:val="634D713D"/>
    <w:rsid w:val="636D2F3A"/>
    <w:rsid w:val="63771C40"/>
    <w:rsid w:val="63776804"/>
    <w:rsid w:val="63870498"/>
    <w:rsid w:val="638B6757"/>
    <w:rsid w:val="638E4C30"/>
    <w:rsid w:val="639E2905"/>
    <w:rsid w:val="63AB687C"/>
    <w:rsid w:val="63AD2418"/>
    <w:rsid w:val="63AD76EF"/>
    <w:rsid w:val="63CA339B"/>
    <w:rsid w:val="63F65FBD"/>
    <w:rsid w:val="641A755E"/>
    <w:rsid w:val="642F4426"/>
    <w:rsid w:val="643323DD"/>
    <w:rsid w:val="64381701"/>
    <w:rsid w:val="644A7E43"/>
    <w:rsid w:val="646D60D2"/>
    <w:rsid w:val="646F5129"/>
    <w:rsid w:val="64846D27"/>
    <w:rsid w:val="64877C97"/>
    <w:rsid w:val="64A175F9"/>
    <w:rsid w:val="64B86324"/>
    <w:rsid w:val="64BD6E2A"/>
    <w:rsid w:val="64C20E5B"/>
    <w:rsid w:val="64C67E05"/>
    <w:rsid w:val="64CF0127"/>
    <w:rsid w:val="64DA2E60"/>
    <w:rsid w:val="64DC230E"/>
    <w:rsid w:val="64E4512C"/>
    <w:rsid w:val="64EF362D"/>
    <w:rsid w:val="64F472AA"/>
    <w:rsid w:val="65047D30"/>
    <w:rsid w:val="650D4276"/>
    <w:rsid w:val="650E3FA6"/>
    <w:rsid w:val="651E7FDE"/>
    <w:rsid w:val="65283AF6"/>
    <w:rsid w:val="652C63CF"/>
    <w:rsid w:val="65404DA2"/>
    <w:rsid w:val="65440D8C"/>
    <w:rsid w:val="654C3728"/>
    <w:rsid w:val="654C7BEB"/>
    <w:rsid w:val="65530E8F"/>
    <w:rsid w:val="65656A70"/>
    <w:rsid w:val="658D79B1"/>
    <w:rsid w:val="658F5C47"/>
    <w:rsid w:val="659B022A"/>
    <w:rsid w:val="65B31DC1"/>
    <w:rsid w:val="65CC1E3C"/>
    <w:rsid w:val="65E06B45"/>
    <w:rsid w:val="65E24AD3"/>
    <w:rsid w:val="65FE712B"/>
    <w:rsid w:val="65FF6A0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DD6475"/>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733E51"/>
    <w:rsid w:val="68920D3E"/>
    <w:rsid w:val="68AD16E1"/>
    <w:rsid w:val="68B76196"/>
    <w:rsid w:val="68BA4B9D"/>
    <w:rsid w:val="68DB44E9"/>
    <w:rsid w:val="68E44CD3"/>
    <w:rsid w:val="6915360B"/>
    <w:rsid w:val="6923160C"/>
    <w:rsid w:val="692F3612"/>
    <w:rsid w:val="692F4C62"/>
    <w:rsid w:val="69484031"/>
    <w:rsid w:val="694C01BA"/>
    <w:rsid w:val="694F7CAA"/>
    <w:rsid w:val="69562DE6"/>
    <w:rsid w:val="695D0516"/>
    <w:rsid w:val="69692F41"/>
    <w:rsid w:val="6976615B"/>
    <w:rsid w:val="698A554F"/>
    <w:rsid w:val="699A4896"/>
    <w:rsid w:val="69A47AFA"/>
    <w:rsid w:val="69A76CE5"/>
    <w:rsid w:val="69A80ADF"/>
    <w:rsid w:val="69B43BB5"/>
    <w:rsid w:val="69B766F1"/>
    <w:rsid w:val="69BB5619"/>
    <w:rsid w:val="69C14A40"/>
    <w:rsid w:val="69DB32EB"/>
    <w:rsid w:val="69F51C80"/>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34492E"/>
    <w:rsid w:val="6B5A7CCF"/>
    <w:rsid w:val="6B804D34"/>
    <w:rsid w:val="6B922CD6"/>
    <w:rsid w:val="6B9532DD"/>
    <w:rsid w:val="6B97756C"/>
    <w:rsid w:val="6B995E05"/>
    <w:rsid w:val="6B9C79D2"/>
    <w:rsid w:val="6B9D4CFC"/>
    <w:rsid w:val="6BA44E6B"/>
    <w:rsid w:val="6BBD2685"/>
    <w:rsid w:val="6BFC2B36"/>
    <w:rsid w:val="6C0356D1"/>
    <w:rsid w:val="6C0861E5"/>
    <w:rsid w:val="6C7F32C4"/>
    <w:rsid w:val="6C932B17"/>
    <w:rsid w:val="6C94629F"/>
    <w:rsid w:val="6CA51F03"/>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23939"/>
    <w:rsid w:val="6E4E2C42"/>
    <w:rsid w:val="6E5227E6"/>
    <w:rsid w:val="6E680A74"/>
    <w:rsid w:val="6E9C4620"/>
    <w:rsid w:val="6EAE5F1D"/>
    <w:rsid w:val="6EBC6A2B"/>
    <w:rsid w:val="6ED50EF9"/>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4A4E26"/>
    <w:rsid w:val="705E3594"/>
    <w:rsid w:val="706D47F2"/>
    <w:rsid w:val="70904E30"/>
    <w:rsid w:val="70CC3C5C"/>
    <w:rsid w:val="70D13186"/>
    <w:rsid w:val="70DA79DB"/>
    <w:rsid w:val="70E66DDE"/>
    <w:rsid w:val="710708CC"/>
    <w:rsid w:val="710D33C2"/>
    <w:rsid w:val="710E6DC5"/>
    <w:rsid w:val="71201E7A"/>
    <w:rsid w:val="713906D7"/>
    <w:rsid w:val="713944E1"/>
    <w:rsid w:val="71A74D64"/>
    <w:rsid w:val="71B11E98"/>
    <w:rsid w:val="71B625C8"/>
    <w:rsid w:val="71D04CEB"/>
    <w:rsid w:val="71D4011E"/>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6C01C5"/>
    <w:rsid w:val="747A3300"/>
    <w:rsid w:val="7481099D"/>
    <w:rsid w:val="74856120"/>
    <w:rsid w:val="748A4B39"/>
    <w:rsid w:val="748E118B"/>
    <w:rsid w:val="74B57A32"/>
    <w:rsid w:val="74D64864"/>
    <w:rsid w:val="74E16D8B"/>
    <w:rsid w:val="74E87DC9"/>
    <w:rsid w:val="75151909"/>
    <w:rsid w:val="751B76E8"/>
    <w:rsid w:val="751C632F"/>
    <w:rsid w:val="75267B11"/>
    <w:rsid w:val="755D712B"/>
    <w:rsid w:val="75871A0B"/>
    <w:rsid w:val="75896036"/>
    <w:rsid w:val="758F1B5A"/>
    <w:rsid w:val="75991092"/>
    <w:rsid w:val="759B5E27"/>
    <w:rsid w:val="75C04FAC"/>
    <w:rsid w:val="75C24137"/>
    <w:rsid w:val="75D03F20"/>
    <w:rsid w:val="75E623C5"/>
    <w:rsid w:val="75EE3012"/>
    <w:rsid w:val="75F83F2A"/>
    <w:rsid w:val="761335AB"/>
    <w:rsid w:val="76373B59"/>
    <w:rsid w:val="764C17F9"/>
    <w:rsid w:val="765B6B67"/>
    <w:rsid w:val="765F6F55"/>
    <w:rsid w:val="76695258"/>
    <w:rsid w:val="767945B8"/>
    <w:rsid w:val="769413F2"/>
    <w:rsid w:val="769B5423"/>
    <w:rsid w:val="76AD49AC"/>
    <w:rsid w:val="76B356B1"/>
    <w:rsid w:val="76BB4F39"/>
    <w:rsid w:val="76D600D5"/>
    <w:rsid w:val="772D2EED"/>
    <w:rsid w:val="77364257"/>
    <w:rsid w:val="774D70B5"/>
    <w:rsid w:val="77711DFB"/>
    <w:rsid w:val="77791211"/>
    <w:rsid w:val="778B06B0"/>
    <w:rsid w:val="77A870F8"/>
    <w:rsid w:val="77C853D2"/>
    <w:rsid w:val="77CB6284"/>
    <w:rsid w:val="77D54C59"/>
    <w:rsid w:val="77D9063B"/>
    <w:rsid w:val="78474B5C"/>
    <w:rsid w:val="786A240A"/>
    <w:rsid w:val="78A82F32"/>
    <w:rsid w:val="78FC7191"/>
    <w:rsid w:val="79072005"/>
    <w:rsid w:val="790F66E7"/>
    <w:rsid w:val="791E54E8"/>
    <w:rsid w:val="796558AF"/>
    <w:rsid w:val="79714322"/>
    <w:rsid w:val="79925588"/>
    <w:rsid w:val="79B90752"/>
    <w:rsid w:val="79E84AA0"/>
    <w:rsid w:val="79F253C4"/>
    <w:rsid w:val="79F34BAE"/>
    <w:rsid w:val="7A0D2E4B"/>
    <w:rsid w:val="7A263D9D"/>
    <w:rsid w:val="7A2D254D"/>
    <w:rsid w:val="7A377F78"/>
    <w:rsid w:val="7A3C22D1"/>
    <w:rsid w:val="7A4B1DC7"/>
    <w:rsid w:val="7A6E4C98"/>
    <w:rsid w:val="7A8C352B"/>
    <w:rsid w:val="7A9279F6"/>
    <w:rsid w:val="7AC22E37"/>
    <w:rsid w:val="7AD803EA"/>
    <w:rsid w:val="7AF97A75"/>
    <w:rsid w:val="7B0574E9"/>
    <w:rsid w:val="7B091377"/>
    <w:rsid w:val="7B367327"/>
    <w:rsid w:val="7B4B6F94"/>
    <w:rsid w:val="7B5E2AA7"/>
    <w:rsid w:val="7B71168E"/>
    <w:rsid w:val="7B9F046E"/>
    <w:rsid w:val="7BA571A1"/>
    <w:rsid w:val="7BA84BDE"/>
    <w:rsid w:val="7BDA4C3E"/>
    <w:rsid w:val="7BED0D99"/>
    <w:rsid w:val="7BF7759F"/>
    <w:rsid w:val="7C0E5BCD"/>
    <w:rsid w:val="7C1B4A3B"/>
    <w:rsid w:val="7C211D7D"/>
    <w:rsid w:val="7C2E45FA"/>
    <w:rsid w:val="7C366D83"/>
    <w:rsid w:val="7C665AD8"/>
    <w:rsid w:val="7C6B6133"/>
    <w:rsid w:val="7C8B7927"/>
    <w:rsid w:val="7C943EFA"/>
    <w:rsid w:val="7CA44559"/>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AB3A5B"/>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512BDD"/>
    <w:rsid w:val="7F5B6C76"/>
    <w:rsid w:val="7F985DEA"/>
    <w:rsid w:val="7FA01DE8"/>
    <w:rsid w:val="7FA254D6"/>
    <w:rsid w:val="7FAA6926"/>
    <w:rsid w:val="7FD30895"/>
    <w:rsid w:val="7FEA0ADA"/>
    <w:rsid w:val="7FEE1B73"/>
    <w:rsid w:val="7FEE3BCC"/>
    <w:rsid w:val="7FF01447"/>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4"/>
    <w:autoRedefine/>
    <w:qFormat/>
    <w:uiPriority w:val="0"/>
    <w:pPr>
      <w:keepNext/>
      <w:keepLines/>
      <w:numPr>
        <w:ilvl w:val="0"/>
        <w:numId w:val="2"/>
      </w:numPr>
      <w:spacing w:line="360" w:lineRule="auto"/>
      <w:outlineLvl w:val="1"/>
    </w:pPr>
    <w:rPr>
      <w:rFonts w:ascii="Arial" w:hAnsi="Arial"/>
      <w:b/>
      <w:bCs/>
      <w:sz w:val="28"/>
      <w:szCs w:val="32"/>
    </w:rPr>
  </w:style>
  <w:style w:type="character" w:default="1" w:styleId="16">
    <w:name w:val="Default Paragraph Font"/>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autoRedefine/>
    <w:qFormat/>
    <w:uiPriority w:val="0"/>
    <w:pPr>
      <w:spacing w:after="120"/>
      <w:ind w:left="420" w:leftChars="200"/>
    </w:pPr>
  </w:style>
  <w:style w:type="paragraph" w:styleId="7">
    <w:name w:val="envelope return"/>
    <w:basedOn w:val="1"/>
    <w:autoRedefine/>
    <w:unhideWhenUsed/>
    <w:qFormat/>
    <w:uiPriority w:val="99"/>
    <w:pPr>
      <w:snapToGrid w:val="0"/>
      <w:ind w:firstLine="200"/>
    </w:pPr>
    <w:rPr>
      <w:rFonts w:ascii="Arial" w:hAnsi="Arial" w:cs="Arial"/>
      <w:szCs w:val="20"/>
    </w:rPr>
  </w:style>
  <w:style w:type="paragraph" w:styleId="8">
    <w:name w:val="Balloon Text"/>
    <w:basedOn w:val="1"/>
    <w:link w:val="40"/>
    <w:qFormat/>
    <w:uiPriority w:val="0"/>
    <w:rPr>
      <w:sz w:val="18"/>
      <w:szCs w:val="18"/>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header"/>
    <w:basedOn w:val="1"/>
    <w:link w:val="36"/>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99"/>
    <w:pPr>
      <w:spacing w:beforeAutospacing="1" w:afterAutospacing="1"/>
      <w:jc w:val="left"/>
    </w:pPr>
    <w:rPr>
      <w:rFonts w:cs="Times New Roman"/>
      <w:kern w:val="0"/>
      <w:sz w:val="24"/>
    </w:rPr>
  </w:style>
  <w:style w:type="paragraph" w:styleId="12">
    <w:name w:val="Title"/>
    <w:basedOn w:val="1"/>
    <w:next w:val="1"/>
    <w:qFormat/>
    <w:uiPriority w:val="0"/>
    <w:pPr>
      <w:jc w:val="center"/>
    </w:pPr>
    <w:rPr>
      <w:sz w:val="30"/>
      <w:szCs w:val="30"/>
    </w:rPr>
  </w:style>
  <w:style w:type="paragraph" w:styleId="13">
    <w:name w:val="Body Text First Indent 2"/>
    <w:basedOn w:val="6"/>
    <w:next w:val="2"/>
    <w:autoRedefine/>
    <w:unhideWhenUsed/>
    <w:qFormat/>
    <w:uiPriority w:val="99"/>
    <w:pPr>
      <w:ind w:firstLine="420" w:firstLineChars="200"/>
    </w:pPr>
    <w:rPr>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autoRedefine/>
    <w:qFormat/>
    <w:uiPriority w:val="0"/>
  </w:style>
  <w:style w:type="character" w:styleId="19">
    <w:name w:val="FollowedHyperlink"/>
    <w:basedOn w:val="16"/>
    <w:qFormat/>
    <w:uiPriority w:val="0"/>
    <w:rPr>
      <w:rFonts w:hint="eastAsia" w:ascii="微软雅黑" w:hAnsi="微软雅黑" w:eastAsia="微软雅黑" w:cs="微软雅黑"/>
      <w:color w:val="323232"/>
      <w:sz w:val="21"/>
      <w:szCs w:val="21"/>
      <w:u w:val="none"/>
    </w:rPr>
  </w:style>
  <w:style w:type="character" w:styleId="20">
    <w:name w:val="Hyperlink"/>
    <w:basedOn w:val="16"/>
    <w:autoRedefine/>
    <w:qFormat/>
    <w:uiPriority w:val="0"/>
    <w:rPr>
      <w:color w:val="0000FF"/>
      <w:u w:val="single"/>
    </w:rPr>
  </w:style>
  <w:style w:type="paragraph" w:customStyle="1" w:styleId="21">
    <w:name w:val="WPSOffice手动目录 1"/>
    <w:qFormat/>
    <w:uiPriority w:val="0"/>
    <w:rPr>
      <w:rFonts w:asciiTheme="minorHAnsi" w:hAnsiTheme="minorHAnsi" w:eastAsiaTheme="minorEastAsia" w:cstheme="minorBidi"/>
      <w:lang w:val="en-US" w:eastAsia="zh-CN" w:bidi="ar-SA"/>
    </w:rPr>
  </w:style>
  <w:style w:type="paragraph" w:customStyle="1" w:styleId="22">
    <w:name w:val="Default"/>
    <w:autoRedefine/>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3">
    <w:name w:val="正文 题目"/>
    <w:basedOn w:val="1"/>
    <w:qFormat/>
    <w:uiPriority w:val="0"/>
    <w:pPr>
      <w:jc w:val="center"/>
    </w:pPr>
    <w:rPr>
      <w:rFonts w:ascii="黑体" w:hAnsi="黑体" w:eastAsia="黑体"/>
      <w:sz w:val="28"/>
    </w:rPr>
  </w:style>
  <w:style w:type="character" w:customStyle="1" w:styleId="24">
    <w:name w:val="标题 2 Char"/>
    <w:link w:val="4"/>
    <w:autoRedefine/>
    <w:qFormat/>
    <w:uiPriority w:val="0"/>
    <w:rPr>
      <w:rFonts w:ascii="Arial" w:hAnsi="Arial"/>
      <w:b/>
      <w:bCs/>
      <w:sz w:val="28"/>
      <w:szCs w:val="32"/>
    </w:rPr>
  </w:style>
  <w:style w:type="character" w:customStyle="1" w:styleId="25">
    <w:name w:val="font01"/>
    <w:basedOn w:val="16"/>
    <w:qFormat/>
    <w:uiPriority w:val="0"/>
    <w:rPr>
      <w:rFonts w:hint="eastAsia" w:ascii="宋体" w:hAnsi="宋体" w:eastAsia="宋体" w:cs="宋体"/>
      <w:color w:val="000000"/>
      <w:sz w:val="20"/>
      <w:szCs w:val="20"/>
      <w:u w:val="none"/>
    </w:rPr>
  </w:style>
  <w:style w:type="character" w:customStyle="1" w:styleId="26">
    <w:name w:val="font31"/>
    <w:basedOn w:val="16"/>
    <w:autoRedefine/>
    <w:qFormat/>
    <w:uiPriority w:val="0"/>
    <w:rPr>
      <w:rFonts w:hint="eastAsia" w:ascii="宋体" w:hAnsi="宋体" w:eastAsia="宋体" w:cs="宋体"/>
      <w:color w:val="000000"/>
      <w:sz w:val="24"/>
      <w:szCs w:val="24"/>
      <w:u w:val="none"/>
    </w:rPr>
  </w:style>
  <w:style w:type="character" w:customStyle="1" w:styleId="27">
    <w:name w:val="font61"/>
    <w:basedOn w:val="16"/>
    <w:autoRedefine/>
    <w:qFormat/>
    <w:uiPriority w:val="0"/>
    <w:rPr>
      <w:rFonts w:hint="default" w:ascii="Times New Roman" w:hAnsi="Times New Roman" w:cs="Times New Roman"/>
      <w:color w:val="000000"/>
      <w:sz w:val="24"/>
      <w:szCs w:val="24"/>
      <w:u w:val="none"/>
    </w:rPr>
  </w:style>
  <w:style w:type="character" w:customStyle="1" w:styleId="28">
    <w:name w:val="font11"/>
    <w:basedOn w:val="16"/>
    <w:autoRedefine/>
    <w:qFormat/>
    <w:uiPriority w:val="0"/>
    <w:rPr>
      <w:rFonts w:hint="eastAsia" w:ascii="宋体" w:hAnsi="宋体" w:eastAsia="宋体" w:cs="宋体"/>
      <w:color w:val="000000"/>
      <w:sz w:val="24"/>
      <w:szCs w:val="24"/>
      <w:u w:val="none"/>
    </w:rPr>
  </w:style>
  <w:style w:type="character" w:customStyle="1" w:styleId="29">
    <w:name w:val="font51"/>
    <w:basedOn w:val="16"/>
    <w:autoRedefine/>
    <w:qFormat/>
    <w:uiPriority w:val="0"/>
    <w:rPr>
      <w:rFonts w:ascii="Calibri" w:hAnsi="Calibri" w:cs="Calibri"/>
      <w:color w:val="000000"/>
      <w:sz w:val="24"/>
      <w:szCs w:val="24"/>
      <w:u w:val="none"/>
    </w:rPr>
  </w:style>
  <w:style w:type="character" w:customStyle="1" w:styleId="30">
    <w:name w:val="font21"/>
    <w:basedOn w:val="16"/>
    <w:autoRedefine/>
    <w:qFormat/>
    <w:uiPriority w:val="0"/>
    <w:rPr>
      <w:rFonts w:hint="eastAsia" w:ascii="宋体" w:hAnsi="宋体" w:eastAsia="宋体" w:cs="宋体"/>
      <w:b/>
      <w:bCs/>
      <w:color w:val="000000"/>
      <w:sz w:val="20"/>
      <w:szCs w:val="20"/>
      <w:u w:val="none"/>
    </w:rPr>
  </w:style>
  <w:style w:type="character" w:customStyle="1" w:styleId="31">
    <w:name w:val="font81"/>
    <w:basedOn w:val="16"/>
    <w:autoRedefine/>
    <w:qFormat/>
    <w:uiPriority w:val="0"/>
    <w:rPr>
      <w:rFonts w:hint="default" w:ascii="Times New Roman" w:hAnsi="Times New Roman" w:cs="Times New Roman"/>
      <w:b/>
      <w:bCs/>
      <w:color w:val="000000"/>
      <w:sz w:val="20"/>
      <w:szCs w:val="20"/>
      <w:u w:val="none"/>
    </w:rPr>
  </w:style>
  <w:style w:type="character" w:customStyle="1" w:styleId="32">
    <w:name w:val="font41"/>
    <w:basedOn w:val="16"/>
    <w:autoRedefine/>
    <w:qFormat/>
    <w:uiPriority w:val="0"/>
    <w:rPr>
      <w:rFonts w:hint="eastAsia" w:ascii="宋体" w:hAnsi="宋体" w:eastAsia="宋体" w:cs="宋体"/>
      <w:color w:val="000000"/>
      <w:sz w:val="20"/>
      <w:szCs w:val="20"/>
      <w:u w:val="none"/>
    </w:rPr>
  </w:style>
  <w:style w:type="character" w:customStyle="1" w:styleId="33">
    <w:name w:val="font71"/>
    <w:basedOn w:val="16"/>
    <w:autoRedefine/>
    <w:qFormat/>
    <w:uiPriority w:val="0"/>
    <w:rPr>
      <w:rFonts w:hint="eastAsia" w:ascii="宋体" w:hAnsi="宋体" w:eastAsia="宋体" w:cs="宋体"/>
      <w:b/>
      <w:bCs/>
      <w:color w:val="000000"/>
      <w:sz w:val="20"/>
      <w:szCs w:val="20"/>
      <w:u w:val="none"/>
      <w:vertAlign w:val="superscript"/>
    </w:rPr>
  </w:style>
  <w:style w:type="character" w:customStyle="1" w:styleId="34">
    <w:name w:val="hover52"/>
    <w:basedOn w:val="16"/>
    <w:autoRedefine/>
    <w:qFormat/>
    <w:uiPriority w:val="0"/>
    <w:rPr>
      <w:color w:val="D61521"/>
    </w:rPr>
  </w:style>
  <w:style w:type="paragraph" w:customStyle="1" w:styleId="35">
    <w:name w:val="Table Paragraph"/>
    <w:basedOn w:val="1"/>
    <w:autoRedefine/>
    <w:qFormat/>
    <w:uiPriority w:val="1"/>
    <w:rPr>
      <w:rFonts w:ascii="宋体" w:hAnsi="宋体" w:eastAsia="宋体" w:cs="宋体"/>
      <w:lang w:val="zh-CN" w:bidi="zh-CN"/>
    </w:rPr>
  </w:style>
  <w:style w:type="character" w:customStyle="1" w:styleId="36">
    <w:name w:val="页眉 Char"/>
    <w:basedOn w:val="16"/>
    <w:link w:val="10"/>
    <w:autoRedefine/>
    <w:qFormat/>
    <w:uiPriority w:val="0"/>
    <w:rPr>
      <w:rFonts w:asciiTheme="minorHAnsi" w:hAnsiTheme="minorHAnsi" w:eastAsiaTheme="minorEastAsia" w:cstheme="minorBidi"/>
      <w:kern w:val="2"/>
      <w:sz w:val="18"/>
      <w:szCs w:val="18"/>
    </w:rPr>
  </w:style>
  <w:style w:type="paragraph" w:styleId="37">
    <w:name w:val="List Paragraph"/>
    <w:basedOn w:val="1"/>
    <w:autoRedefine/>
    <w:unhideWhenUsed/>
    <w:qFormat/>
    <w:uiPriority w:val="99"/>
    <w:pPr>
      <w:ind w:firstLine="420" w:firstLineChars="200"/>
    </w:pPr>
  </w:style>
  <w:style w:type="paragraph" w:customStyle="1" w:styleId="38">
    <w:name w:val="正文1"/>
    <w:basedOn w:val="1"/>
    <w:autoRedefine/>
    <w:qFormat/>
    <w:uiPriority w:val="0"/>
    <w:pPr>
      <w:spacing w:line="400" w:lineRule="exact"/>
    </w:pPr>
    <w:rPr>
      <w:rFonts w:ascii="宋体" w:hAnsi="宋体" w:cs="宋体"/>
      <w:b/>
      <w:bCs/>
      <w:color w:val="000000"/>
      <w:kern w:val="0"/>
      <w:szCs w:val="21"/>
    </w:rPr>
  </w:style>
  <w:style w:type="character" w:customStyle="1" w:styleId="39">
    <w:name w:val="NormalCharacter"/>
    <w:autoRedefine/>
    <w:semiHidden/>
    <w:qFormat/>
    <w:uiPriority w:val="0"/>
  </w:style>
  <w:style w:type="character" w:customStyle="1" w:styleId="40">
    <w:name w:val="批注框文本 Char"/>
    <w:basedOn w:val="16"/>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23D03"/>
    <w:rsid w:val="006B3A1F"/>
    <w:rsid w:val="006C53A5"/>
    <w:rsid w:val="00736392"/>
    <w:rsid w:val="00772FC2"/>
    <w:rsid w:val="008F2DF3"/>
    <w:rsid w:val="00992F09"/>
    <w:rsid w:val="00A041DF"/>
    <w:rsid w:val="00AF55D7"/>
    <w:rsid w:val="00B21636"/>
    <w:rsid w:val="00BC462D"/>
    <w:rsid w:val="00C90CAA"/>
    <w:rsid w:val="00D103D9"/>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2969</Words>
  <Characters>16924</Characters>
  <Lines>141</Lines>
  <Paragraphs>39</Paragraphs>
  <TotalTime>42</TotalTime>
  <ScaleCrop>false</ScaleCrop>
  <LinksUpToDate>false</LinksUpToDate>
  <CharactersWithSpaces>19854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2024-03-29T08:07:26Z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A0A25970FBF7428B839EEA0045245682_13</vt:lpwstr>
  </property>
</Properties>
</file>