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7.26公务车辆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Times New Roman" w:hAnsi="Times New Roman" w:eastAsia="黑体" w:cs="Times New Roman"/>
          <w:color w:val="auto"/>
          <w:sz w:val="32"/>
          <w:szCs w:val="32"/>
          <w:highlight w:val="none"/>
          <w:u w:val="single"/>
          <w:lang w:eastAsia="zh-CN"/>
        </w:rPr>
        <w:t>安徽交运集团汽车销售有限公司</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eastAsia="黑体" w:cs="Times New Roman"/>
          <w:color w:val="auto"/>
          <w:sz w:val="32"/>
          <w:szCs w:val="32"/>
          <w:highlight w:val="none"/>
          <w:u w:val="single"/>
          <w:lang w:eastAsia="zh-CN"/>
        </w:rPr>
      </w:pPr>
      <w:r>
        <w:rPr>
          <w:rFonts w:hint="default" w:ascii="Times New Roman" w:hAnsi="Times New Roman" w:eastAsia="黑体" w:cs="Times New Roman"/>
          <w:color w:val="auto"/>
          <w:sz w:val="32"/>
          <w:szCs w:val="32"/>
          <w:highlight w:val="none"/>
          <w:u w:val="none"/>
          <w:lang w:eastAsia="zh-CN"/>
        </w:rPr>
        <w:t>日</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期：</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eastAsia="黑体" w:cs="Times New Roman"/>
          <w:color w:val="auto"/>
          <w:sz w:val="32"/>
          <w:szCs w:val="32"/>
          <w:highlight w:val="none"/>
          <w:u w:val="single"/>
          <w:lang w:eastAsia="zh-CN"/>
        </w:rPr>
        <w:t>年</w:t>
      </w:r>
      <w:r>
        <w:rPr>
          <w:rFonts w:hint="eastAsia" w:ascii="Times New Roman" w:hAnsi="Times New Roman" w:eastAsia="黑体" w:cs="Times New Roman"/>
          <w:color w:val="auto"/>
          <w:sz w:val="32"/>
          <w:szCs w:val="32"/>
          <w:highlight w:val="none"/>
          <w:u w:val="single"/>
          <w:lang w:val="en-US" w:eastAsia="zh-CN"/>
        </w:rPr>
        <w:t>7</w:t>
      </w:r>
      <w:r>
        <w:rPr>
          <w:rFonts w:hint="default" w:ascii="Times New Roman" w:hAnsi="Times New Roman" w:eastAsia="黑体" w:cs="Times New Roman"/>
          <w:color w:val="auto"/>
          <w:sz w:val="32"/>
          <w:szCs w:val="32"/>
          <w:highlight w:val="none"/>
          <w:u w:val="single"/>
          <w:lang w:eastAsia="zh-CN"/>
        </w:rPr>
        <w:t>月</w:t>
      </w:r>
      <w:r>
        <w:rPr>
          <w:rFonts w:hint="eastAsia" w:ascii="Times New Roman" w:hAnsi="Times New Roman" w:eastAsia="黑体" w:cs="Times New Roman"/>
          <w:color w:val="auto"/>
          <w:sz w:val="32"/>
          <w:szCs w:val="32"/>
          <w:highlight w:val="none"/>
          <w:u w:val="single"/>
          <w:lang w:val="en-US" w:eastAsia="zh-CN"/>
        </w:rPr>
        <w:t>26</w:t>
      </w:r>
      <w:r>
        <w:rPr>
          <w:rFonts w:hint="default" w:ascii="Times New Roman" w:hAnsi="Times New Roman" w:eastAsia="黑体" w:cs="Times New Roman"/>
          <w:color w:val="auto"/>
          <w:sz w:val="32"/>
          <w:szCs w:val="32"/>
          <w:highlight w:val="none"/>
          <w:u w:val="single"/>
          <w:lang w:eastAsia="zh-CN"/>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8"/>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5"/>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 w:name="_Toc24354_WPSOffice_Level2"/>
      <w:bookmarkStart w:id="3" w:name="_Toc13871"/>
      <w:bookmarkStart w:id="4" w:name="_Toc10395_WPSOffice_Level2"/>
      <w:bookmarkStart w:id="5" w:name="_Toc12765"/>
      <w:bookmarkStart w:id="6" w:name="_Toc525632585"/>
      <w:bookmarkStart w:id="7" w:name="_Toc4489_WPSOffice_Level2"/>
      <w:bookmarkStart w:id="8" w:name="_Toc6496_WPSOffice_Level2"/>
      <w:r>
        <w:rPr>
          <w:rFonts w:hint="eastAsia" w:ascii="宋体" w:hAnsi="宋体" w:eastAsia="宋体" w:cs="宋体"/>
          <w:bCs w:val="0"/>
          <w:color w:val="auto"/>
          <w:sz w:val="21"/>
          <w:szCs w:val="21"/>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 项目名称：</w:t>
      </w:r>
      <w:r>
        <w:rPr>
          <w:rFonts w:hint="eastAsia" w:ascii="宋体" w:hAnsi="宋体" w:eastAsia="宋体" w:cs="宋体"/>
          <w:color w:val="auto"/>
          <w:sz w:val="21"/>
          <w:szCs w:val="21"/>
          <w:highlight w:val="none"/>
          <w:u w:val="single"/>
          <w:lang w:val="en-US" w:eastAsia="zh-CN"/>
        </w:rPr>
        <w:t xml:space="preserve"> 2023年安徽交运集团汽车销售有限公司7.26公务车辆采购项目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采 购 人：</w:t>
      </w:r>
      <w:r>
        <w:rPr>
          <w:rFonts w:hint="eastAsia" w:ascii="宋体" w:hAnsi="宋体" w:eastAsia="宋体" w:cs="宋体"/>
          <w:color w:val="auto"/>
          <w:sz w:val="21"/>
          <w:szCs w:val="21"/>
          <w:highlight w:val="none"/>
          <w:u w:val="single"/>
          <w:lang w:val="en-US" w:eastAsia="zh-CN"/>
        </w:rPr>
        <w:t xml:space="preserve"> 安徽交运集团汽车销售有限公司</w:t>
      </w:r>
    </w:p>
    <w:p>
      <w:pPr>
        <w:snapToGrid w:val="0"/>
        <w:spacing w:line="44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1.3 </w:t>
      </w:r>
      <w:r>
        <w:rPr>
          <w:rFonts w:hint="eastAsia" w:ascii="宋体" w:hAnsi="宋体" w:eastAsia="宋体" w:cs="宋体"/>
          <w:color w:val="auto"/>
          <w:sz w:val="21"/>
          <w:szCs w:val="21"/>
          <w:highlight w:val="none"/>
          <w:lang w:val="en-US" w:eastAsia="zh-CN"/>
        </w:rPr>
        <w:t>项目概况</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1台轿车、1台皮卡、1台SUV </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9" w:name="_Toc10274"/>
      <w:bookmarkStart w:id="10" w:name="_Toc17858_WPSOffice_Level2"/>
      <w:bookmarkStart w:id="11" w:name="_Toc18367_WPSOffice_Level2"/>
      <w:bookmarkStart w:id="12" w:name="_Toc525632586"/>
      <w:bookmarkStart w:id="13" w:name="_Toc23266_WPSOffice_Level2"/>
      <w:bookmarkStart w:id="14" w:name="_Toc8128_WPSOffice_Level2"/>
      <w:bookmarkStart w:id="15" w:name="_Toc18453"/>
      <w:r>
        <w:rPr>
          <w:rFonts w:hint="eastAsia" w:ascii="宋体" w:hAnsi="宋体" w:eastAsia="宋体" w:cs="宋体"/>
          <w:bCs w:val="0"/>
          <w:color w:val="auto"/>
          <w:sz w:val="21"/>
          <w:szCs w:val="21"/>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rPr>
      </w:pPr>
      <w:bookmarkStart w:id="16" w:name="_Toc4489_WPSOffice_Level3"/>
      <w:r>
        <w:rPr>
          <w:rFonts w:hint="eastAsia" w:ascii="宋体" w:hAnsi="宋体" w:eastAsia="宋体" w:cs="宋体"/>
          <w:color w:val="auto"/>
          <w:sz w:val="21"/>
          <w:szCs w:val="21"/>
          <w:highlight w:val="none"/>
        </w:rPr>
        <w:t>2.1 采购方式：</w:t>
      </w:r>
      <w:bookmarkEnd w:id="16"/>
      <w:r>
        <w:rPr>
          <w:rFonts w:hint="eastAsia" w:ascii="宋体" w:hAnsi="宋体" w:eastAsia="宋体" w:cs="宋体"/>
          <w:color w:val="auto"/>
          <w:sz w:val="21"/>
          <w:szCs w:val="21"/>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bookmarkStart w:id="17" w:name="_Toc23266_WPSOffice_Level3"/>
      <w:r>
        <w:rPr>
          <w:rFonts w:hint="eastAsia" w:ascii="宋体" w:hAnsi="宋体" w:eastAsia="宋体" w:cs="宋体"/>
          <w:color w:val="auto"/>
          <w:sz w:val="21"/>
          <w:szCs w:val="21"/>
          <w:highlight w:val="none"/>
        </w:rPr>
        <w:t>2.2 资金来源</w:t>
      </w:r>
      <w:r>
        <w:rPr>
          <w:rFonts w:hint="eastAsia" w:ascii="宋体" w:hAnsi="宋体" w:eastAsia="宋体" w:cs="宋体"/>
          <w:color w:val="auto"/>
          <w:sz w:val="21"/>
          <w:szCs w:val="21"/>
          <w:highlight w:val="none"/>
          <w:lang w:val="en-US" w:eastAsia="zh-CN"/>
        </w:rPr>
        <w:t>及比例</w:t>
      </w:r>
      <w:r>
        <w:rPr>
          <w:rFonts w:hint="eastAsia" w:ascii="宋体" w:hAnsi="宋体" w:eastAsia="宋体" w:cs="宋体"/>
          <w:color w:val="auto"/>
          <w:sz w:val="21"/>
          <w:szCs w:val="21"/>
          <w:highlight w:val="none"/>
        </w:rPr>
        <w:t>：</w:t>
      </w:r>
      <w:bookmarkEnd w:id="17"/>
      <w:bookmarkStart w:id="18" w:name="_Toc22379_WPSOffice_Level3"/>
      <w:r>
        <w:rPr>
          <w:rFonts w:hint="eastAsia" w:ascii="宋体" w:hAnsi="宋体" w:eastAsia="宋体" w:cs="宋体"/>
          <w:color w:val="auto"/>
          <w:sz w:val="21"/>
          <w:szCs w:val="21"/>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2.3 </w:t>
      </w:r>
      <w:r>
        <w:rPr>
          <w:rFonts w:hint="eastAsia" w:ascii="宋体" w:hAnsi="宋体" w:eastAsia="宋体" w:cs="宋体"/>
          <w:color w:val="auto"/>
          <w:sz w:val="21"/>
          <w:szCs w:val="21"/>
          <w:highlight w:val="none"/>
          <w:lang w:val="en-US" w:eastAsia="zh-CN"/>
        </w:rPr>
        <w:t>采购范围：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采购</w:t>
      </w:r>
      <w:r>
        <w:rPr>
          <w:rFonts w:hint="eastAsia" w:ascii="宋体" w:hAnsi="宋体" w:eastAsia="宋体" w:cs="宋体"/>
          <w:color w:val="auto"/>
          <w:sz w:val="21"/>
          <w:szCs w:val="21"/>
          <w:highlight w:val="none"/>
          <w:u w:val="single"/>
          <w:lang w:val="en-US" w:eastAsia="zh-CN"/>
        </w:rPr>
        <w:t xml:space="preserve">1台轿车、1台皮卡、1台SUV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sz w:val="21"/>
          <w:szCs w:val="21"/>
          <w:u w:val="single"/>
          <w:lang w:val="en-US" w:eastAsia="zh-CN"/>
        </w:rPr>
      </w:pPr>
      <w:r>
        <w:rPr>
          <w:rFonts w:hint="eastAsia" w:ascii="宋体" w:hAnsi="宋体" w:eastAsia="宋体" w:cs="宋体"/>
          <w:color w:val="auto"/>
          <w:sz w:val="21"/>
          <w:szCs w:val="21"/>
          <w:highlight w:val="none"/>
          <w:lang w:val="en-US" w:eastAsia="zh-CN"/>
        </w:rPr>
        <w:t>2.4 合同包划分：</w:t>
      </w:r>
      <w:r>
        <w:rPr>
          <w:rFonts w:hint="eastAsia" w:ascii="宋体" w:hAnsi="宋体" w:eastAsia="宋体" w:cs="宋体"/>
          <w:i w:val="0"/>
          <w:iCs w:val="0"/>
          <w:color w:val="auto"/>
          <w:sz w:val="21"/>
          <w:szCs w:val="21"/>
          <w:highlight w:val="none"/>
          <w:u w:val="single"/>
          <w:lang w:val="en-US" w:eastAsia="zh-CN"/>
        </w:rPr>
        <w:t>采购</w:t>
      </w:r>
      <w:r>
        <w:rPr>
          <w:rFonts w:hint="eastAsia" w:ascii="宋体" w:hAnsi="宋体" w:eastAsia="宋体" w:cs="宋体"/>
          <w:i w:val="0"/>
          <w:iCs w:val="0"/>
          <w:sz w:val="21"/>
          <w:szCs w:val="21"/>
          <w:u w:val="single"/>
          <w:lang w:val="en-US" w:eastAsia="zh-CN"/>
        </w:rPr>
        <w:t>迈腾280T自动领先版 1台 为1包 限价 18万；</w:t>
      </w:r>
      <w:r>
        <w:rPr>
          <w:rFonts w:hint="eastAsia" w:ascii="宋体" w:hAnsi="宋体" w:eastAsia="宋体" w:cs="宋体"/>
          <w:sz w:val="21"/>
          <w:szCs w:val="21"/>
          <w:u w:val="single"/>
          <w:lang w:val="en-US" w:eastAsia="zh-CN"/>
        </w:rPr>
        <w:t xml:space="preserve">采购尼桑纳瓦拉皮卡1台 为2包 限价18万；采购江铃福特领睿1台 为3包 限价18万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最高限价：</w:t>
      </w:r>
      <w:bookmarkEnd w:id="18"/>
      <w:r>
        <w:rPr>
          <w:rFonts w:hint="eastAsia" w:ascii="宋体" w:hAnsi="宋体" w:eastAsia="宋体" w:cs="宋体"/>
          <w:color w:val="auto"/>
          <w:sz w:val="21"/>
          <w:szCs w:val="21"/>
          <w:highlight w:val="none"/>
          <w:u w:val="single"/>
          <w:lang w:val="en-US" w:eastAsia="zh-CN"/>
        </w:rPr>
        <w:t xml:space="preserve"> 54万（包含车辆购置税）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color w:val="auto"/>
          <w:sz w:val="21"/>
          <w:szCs w:val="21"/>
          <w:highlight w:val="none"/>
          <w:lang w:val="en-US" w:eastAsia="zh-CN"/>
        </w:rPr>
        <w:t>2.6 计划交货期：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kern w:val="2"/>
          <w:sz w:val="21"/>
          <w:szCs w:val="21"/>
          <w:u w:val="single"/>
        </w:rPr>
        <w:t>合同签订后</w:t>
      </w:r>
      <w:r>
        <w:rPr>
          <w:rFonts w:hint="eastAsia" w:ascii="宋体" w:hAnsi="宋体" w:eastAsia="宋体" w:cs="宋体"/>
          <w:kern w:val="2"/>
          <w:sz w:val="21"/>
          <w:szCs w:val="21"/>
          <w:u w:val="single"/>
          <w:lang w:val="en-US" w:eastAsia="zh-CN"/>
        </w:rPr>
        <w:t>30</w:t>
      </w:r>
      <w:r>
        <w:rPr>
          <w:rFonts w:hint="eastAsia" w:ascii="宋体" w:hAnsi="宋体" w:eastAsia="宋体" w:cs="宋体"/>
          <w:kern w:val="2"/>
          <w:sz w:val="21"/>
          <w:szCs w:val="21"/>
          <w:u w:val="single"/>
        </w:rPr>
        <w:t>日内完成交货</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19" w:name="_Toc1622_WPSOffice_Level2"/>
      <w:bookmarkStart w:id="20" w:name="_Toc31673_WPSOffice_Level2"/>
      <w:bookmarkStart w:id="21" w:name="_Toc22379_WPSOffice_Level2"/>
      <w:bookmarkStart w:id="22" w:name="_Toc6388"/>
      <w:bookmarkStart w:id="23" w:name="_Toc525632587"/>
      <w:bookmarkStart w:id="24" w:name="_Toc29516_WPSOffice_Level2"/>
      <w:bookmarkStart w:id="25" w:name="_Toc3714"/>
      <w:r>
        <w:rPr>
          <w:rFonts w:hint="eastAsia" w:ascii="宋体" w:hAnsi="宋体" w:eastAsia="宋体" w:cs="宋体"/>
          <w:bCs w:val="0"/>
          <w:color w:val="auto"/>
          <w:sz w:val="21"/>
          <w:szCs w:val="21"/>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本次采购要求供应商须同时具备：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（1）资质最低要求：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供应商应具备车辆的销售资质，具备独立法人资格，持有有效的营业执照；</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i w:val="0"/>
          <w:caps w:val="0"/>
          <w:color w:val="auto"/>
          <w:spacing w:val="0"/>
          <w:sz w:val="21"/>
          <w:szCs w:val="21"/>
          <w:shd w:val="clear" w:fill="FFFFFF"/>
        </w:rPr>
        <w:t>业绩最低要求：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i w:val="0"/>
          <w:caps w:val="0"/>
          <w:color w:val="auto"/>
          <w:spacing w:val="0"/>
          <w:sz w:val="21"/>
          <w:szCs w:val="21"/>
          <w:shd w:val="clear" w:fill="FFFFFF"/>
        </w:rPr>
        <w:t>近</w:t>
      </w:r>
      <w:r>
        <w:rPr>
          <w:rFonts w:hint="eastAsia" w:ascii="宋体" w:hAnsi="宋体" w:eastAsia="宋体" w:cs="宋体"/>
          <w:b w:val="0"/>
          <w:bCs w:val="0"/>
          <w:i w:val="0"/>
          <w:caps w:val="0"/>
          <w:color w:val="auto"/>
          <w:spacing w:val="0"/>
          <w:sz w:val="21"/>
          <w:szCs w:val="21"/>
          <w:shd w:val="clear" w:fill="FFFFFF"/>
          <w:lang w:val="en-US" w:eastAsia="zh-CN"/>
        </w:rPr>
        <w:t>3</w:t>
      </w:r>
      <w:r>
        <w:rPr>
          <w:rFonts w:hint="eastAsia" w:ascii="宋体" w:hAnsi="宋体" w:eastAsia="宋体" w:cs="宋体"/>
          <w:b w:val="0"/>
          <w:bCs w:val="0"/>
          <w:i w:val="0"/>
          <w:caps w:val="0"/>
          <w:color w:val="auto"/>
          <w:spacing w:val="0"/>
          <w:sz w:val="21"/>
          <w:szCs w:val="21"/>
          <w:shd w:val="clear" w:fill="FFFFFF"/>
        </w:rPr>
        <w:t>年（时间以响应文件递交截止日期为准）具备</w:t>
      </w:r>
      <w:r>
        <w:rPr>
          <w:rFonts w:hint="eastAsia" w:ascii="宋体" w:hAnsi="宋体" w:eastAsia="宋体" w:cs="宋体"/>
          <w:b w:val="0"/>
          <w:bCs w:val="0"/>
          <w:i w:val="0"/>
          <w:caps w:val="0"/>
          <w:color w:val="auto"/>
          <w:spacing w:val="0"/>
          <w:sz w:val="21"/>
          <w:szCs w:val="21"/>
          <w:shd w:val="clear" w:fill="FFFFFF"/>
          <w:lang w:val="en-US" w:eastAsia="zh-CN"/>
        </w:rPr>
        <w:t>汽车</w:t>
      </w:r>
      <w:r>
        <w:rPr>
          <w:rFonts w:hint="eastAsia" w:ascii="宋体" w:hAnsi="宋体" w:eastAsia="宋体" w:cs="宋体"/>
          <w:b w:val="0"/>
          <w:bCs w:val="0"/>
          <w:i w:val="0"/>
          <w:caps w:val="0"/>
          <w:color w:val="auto"/>
          <w:spacing w:val="0"/>
          <w:sz w:val="21"/>
          <w:szCs w:val="21"/>
          <w:shd w:val="clear" w:fill="FFFFFF"/>
          <w:lang w:eastAsia="zh-CN"/>
        </w:rPr>
        <w:t>销售业绩</w:t>
      </w:r>
      <w:r>
        <w:rPr>
          <w:rFonts w:hint="eastAsia" w:ascii="宋体" w:hAnsi="宋体" w:eastAsia="宋体" w:cs="宋体"/>
          <w:b w:val="0"/>
          <w:bCs w:val="0"/>
          <w:i w:val="0"/>
          <w:caps w:val="0"/>
          <w:color w:val="auto"/>
          <w:spacing w:val="0"/>
          <w:sz w:val="21"/>
          <w:szCs w:val="21"/>
          <w:shd w:val="clear" w:fill="FFFFFF"/>
        </w:rPr>
        <w:t>，</w:t>
      </w:r>
      <w:r>
        <w:rPr>
          <w:rFonts w:hint="eastAsia" w:ascii="宋体" w:hAnsi="宋体" w:eastAsia="宋体" w:cs="宋体"/>
          <w:b w:val="0"/>
          <w:bCs w:val="0"/>
          <w:i w:val="0"/>
          <w:caps w:val="0"/>
          <w:color w:val="auto"/>
          <w:spacing w:val="0"/>
          <w:sz w:val="21"/>
          <w:szCs w:val="21"/>
          <w:shd w:val="clear" w:fill="FFFFFF"/>
          <w:lang w:eastAsia="zh-CN"/>
        </w:rPr>
        <w:t>销售车辆不得少于</w:t>
      </w:r>
      <w:r>
        <w:rPr>
          <w:rFonts w:hint="eastAsia" w:ascii="宋体" w:hAnsi="宋体" w:eastAsia="宋体" w:cs="宋体"/>
          <w:b w:val="0"/>
          <w:bCs w:val="0"/>
          <w:i w:val="0"/>
          <w:caps w:val="0"/>
          <w:color w:val="auto"/>
          <w:spacing w:val="0"/>
          <w:sz w:val="21"/>
          <w:szCs w:val="21"/>
          <w:shd w:val="clear" w:fill="FFFFFF"/>
          <w:lang w:val="en-US" w:eastAsia="zh-CN"/>
        </w:rPr>
        <w:t>1台。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②未进入清算程序，或被宣告破产，或其他丧失履约能力的情形；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③在国家企业信用信息公示系统（http://www.gsxt.gov.cn）中未被列入严重违法失信企业名单；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④在“信用中国”网站（http://www.creditchina.gov.cn）中未被列入失信被执行人名单；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⑤在近三年内（自响应文件递交截止之日向前追溯3年）供应商或其法定代表人未有行贿犯罪行为；</w:t>
      </w:r>
    </w:p>
    <w:p>
      <w:pPr>
        <w:pStyle w:val="2"/>
        <w:pageBreakBefore w:val="0"/>
        <w:kinsoku/>
        <w:wordWrap/>
        <w:overflowPunct/>
        <w:topLinePunct w:val="0"/>
        <w:autoSpaceDE/>
        <w:autoSpaceDN/>
        <w:bidi w:val="0"/>
        <w:adjustRightInd/>
        <w:spacing w:line="560" w:lineRule="exact"/>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联合体：本次采购</w:t>
      </w:r>
      <w:r>
        <w:rPr>
          <w:rFonts w:hint="eastAsia" w:ascii="宋体" w:hAnsi="宋体" w:eastAsia="宋体" w:cs="宋体"/>
          <w:color w:val="auto"/>
          <w:sz w:val="21"/>
          <w:szCs w:val="21"/>
          <w:highlight w:val="none"/>
          <w:u w:val="none"/>
          <w:lang w:val="en-US" w:eastAsia="zh-CN"/>
        </w:rPr>
        <w:t>不接受</w:t>
      </w:r>
      <w:r>
        <w:rPr>
          <w:rFonts w:hint="eastAsia" w:ascii="宋体" w:hAnsi="宋体" w:eastAsia="宋体" w:cs="宋体"/>
          <w:color w:val="auto"/>
          <w:sz w:val="21"/>
          <w:szCs w:val="21"/>
          <w:highlight w:val="none"/>
        </w:rPr>
        <w:t>联合体报价</w:t>
      </w:r>
      <w:r>
        <w:rPr>
          <w:rFonts w:hint="eastAsia" w:ascii="宋体" w:hAnsi="宋体" w:eastAsia="宋体" w:cs="宋体"/>
          <w:color w:val="auto"/>
          <w:sz w:val="21"/>
          <w:szCs w:val="21"/>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单位负责人为同一人或者存在控股、管理关系的不同单位，不得同时参加</w:t>
      </w:r>
      <w:r>
        <w:rPr>
          <w:rFonts w:hint="eastAsia" w:ascii="宋体" w:hAnsi="宋体" w:eastAsia="宋体" w:cs="宋体"/>
          <w:color w:val="auto"/>
          <w:sz w:val="21"/>
          <w:szCs w:val="21"/>
          <w:highlight w:val="none"/>
          <w:lang w:val="en-US" w:eastAsia="zh-CN"/>
        </w:rPr>
        <w:t>同一合同包</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否则相关响应文件均无效</w:t>
      </w:r>
      <w:r>
        <w:rPr>
          <w:rFonts w:hint="eastAsia" w:ascii="宋体" w:hAnsi="宋体" w:eastAsia="宋体" w:cs="宋体"/>
          <w:color w:val="auto"/>
          <w:sz w:val="21"/>
          <w:szCs w:val="21"/>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26" w:name="_Toc525632588"/>
      <w:bookmarkStart w:id="27" w:name="_Toc25666_WPSOffice_Level2"/>
      <w:bookmarkStart w:id="28" w:name="_Toc2996_WPSOffice_Level2"/>
      <w:bookmarkStart w:id="29" w:name="_Toc1994"/>
      <w:bookmarkStart w:id="30" w:name="_Toc29452_WPSOffice_Level2"/>
      <w:bookmarkStart w:id="31" w:name="_Toc4751"/>
      <w:bookmarkStart w:id="32" w:name="_Toc4109_WPSOffice_Level2"/>
      <w:r>
        <w:rPr>
          <w:rFonts w:hint="eastAsia" w:ascii="宋体" w:hAnsi="宋体" w:eastAsia="宋体" w:cs="宋体"/>
          <w:bCs w:val="0"/>
          <w:color w:val="auto"/>
          <w:sz w:val="21"/>
          <w:szCs w:val="21"/>
          <w:highlight w:val="none"/>
          <w:lang w:eastAsia="zh-CN"/>
        </w:rPr>
        <w:t>询比文件</w:t>
      </w:r>
      <w:r>
        <w:rPr>
          <w:rFonts w:hint="eastAsia" w:ascii="宋体" w:hAnsi="宋体" w:eastAsia="宋体" w:cs="宋体"/>
          <w:bCs w:val="0"/>
          <w:color w:val="auto"/>
          <w:sz w:val="21"/>
          <w:szCs w:val="21"/>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供应商应在递交响应文件的截止时间前登录安徽交运集团网站（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），选择所参加的合同包，</w:t>
      </w:r>
      <w:r>
        <w:rPr>
          <w:rFonts w:hint="eastAsia" w:ascii="宋体" w:hAnsi="宋体" w:eastAsia="宋体" w:cs="宋体"/>
          <w:color w:val="auto"/>
          <w:sz w:val="21"/>
          <w:szCs w:val="21"/>
          <w:highlight w:val="none"/>
        </w:rPr>
        <w:t>自行下载</w:t>
      </w:r>
      <w:r>
        <w:rPr>
          <w:rFonts w:hint="eastAsia" w:ascii="宋体" w:hAnsi="宋体" w:eastAsia="宋体" w:cs="宋体"/>
          <w:color w:val="auto"/>
          <w:sz w:val="21"/>
          <w:szCs w:val="21"/>
          <w:highlight w:val="none"/>
          <w:lang w:eastAsia="zh-CN"/>
        </w:rPr>
        <w:t>询比文件</w:t>
      </w:r>
      <w:r>
        <w:rPr>
          <w:rFonts w:hint="eastAsia" w:ascii="宋体" w:hAnsi="宋体" w:eastAsia="宋体" w:cs="宋体"/>
          <w:color w:val="auto"/>
          <w:sz w:val="21"/>
          <w:szCs w:val="21"/>
          <w:highlight w:val="none"/>
          <w:lang w:val="en-US" w:eastAsia="zh-CN"/>
        </w:rPr>
        <w:t>及相关资料</w:t>
      </w:r>
      <w:r>
        <w:rPr>
          <w:rFonts w:hint="eastAsia" w:ascii="宋体" w:hAnsi="宋体" w:eastAsia="宋体" w:cs="宋体"/>
          <w:color w:val="auto"/>
          <w:sz w:val="21"/>
          <w:szCs w:val="21"/>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3" w:name="_Toc525632589"/>
      <w:bookmarkStart w:id="34" w:name="_Toc726"/>
      <w:r>
        <w:rPr>
          <w:rFonts w:hint="eastAsia" w:ascii="宋体" w:hAnsi="宋体" w:eastAsia="宋体" w:cs="宋体"/>
          <w:bCs w:val="0"/>
          <w:color w:val="auto"/>
          <w:sz w:val="21"/>
          <w:szCs w:val="21"/>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响应文件递交的截止时间为</w:t>
      </w:r>
      <w:r>
        <w:rPr>
          <w:rFonts w:hint="eastAsia" w:ascii="宋体" w:hAnsi="宋体" w:eastAsia="宋体" w:cs="宋体"/>
          <w:color w:val="auto"/>
          <w:sz w:val="21"/>
          <w:szCs w:val="21"/>
          <w:highlight w:val="none"/>
          <w:u w:val="single"/>
          <w:lang w:val="en-US" w:eastAsia="zh-CN"/>
        </w:rPr>
        <w:t xml:space="preserve"> 2023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lang w:val="en-US" w:eastAsia="zh-CN"/>
        </w:rPr>
        <w:t>日</w:t>
      </w:r>
      <w:r>
        <w:rPr>
          <w:rFonts w:hint="eastAsia" w:ascii="宋体" w:hAnsi="宋体" w:eastAsia="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，供应商的法定代表人或其授权代理人应于截止时间前将响应文件</w:t>
      </w:r>
      <w:r>
        <w:rPr>
          <w:rFonts w:hint="eastAsia" w:ascii="宋体" w:hAnsi="宋体" w:eastAsia="宋体" w:cs="宋体"/>
          <w:color w:val="auto"/>
          <w:sz w:val="21"/>
          <w:szCs w:val="21"/>
          <w:highlight w:val="none"/>
          <w:lang w:val="en-US" w:eastAsia="zh-CN"/>
        </w:rPr>
        <w:t>递交至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合肥市胜利路</w:t>
      </w:r>
      <w:r>
        <w:rPr>
          <w:rFonts w:hint="eastAsia" w:ascii="宋体" w:hAnsi="宋体" w:eastAsia="宋体" w:cs="宋体"/>
          <w:color w:val="auto"/>
          <w:sz w:val="21"/>
          <w:szCs w:val="21"/>
          <w:highlight w:val="none"/>
          <w:u w:val="single"/>
          <w:lang w:val="en-US" w:eastAsia="zh-CN"/>
        </w:rPr>
        <w:t>35号，</w:t>
      </w:r>
      <w:r>
        <w:rPr>
          <w:rFonts w:hint="eastAsia" w:ascii="宋体" w:hAnsi="宋体" w:eastAsia="宋体" w:cs="宋体"/>
          <w:color w:val="auto"/>
          <w:sz w:val="21"/>
          <w:szCs w:val="21"/>
          <w:highlight w:val="none"/>
          <w:u w:val="single"/>
          <w:lang w:eastAsia="zh-CN"/>
        </w:rPr>
        <w:t>交通饭店三楼</w:t>
      </w:r>
      <w:r>
        <w:rPr>
          <w:rFonts w:hint="eastAsia" w:ascii="宋体" w:hAnsi="宋体" w:eastAsia="宋体" w:cs="宋体"/>
          <w:color w:val="auto"/>
          <w:sz w:val="21"/>
          <w:szCs w:val="21"/>
          <w:highlight w:val="none"/>
          <w:u w:val="single"/>
          <w:lang w:val="en-US" w:eastAsia="zh-CN"/>
        </w:rPr>
        <w:t xml:space="preserve"> 汽车销售有限公司</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5" w:name="_Toc525632591"/>
      <w:bookmarkStart w:id="36" w:name="_Toc22719"/>
      <w:r>
        <w:rPr>
          <w:rFonts w:hint="eastAsia" w:ascii="宋体" w:hAnsi="宋体" w:eastAsia="宋体" w:cs="宋体"/>
          <w:bCs w:val="0"/>
          <w:color w:val="auto"/>
          <w:sz w:val="21"/>
          <w:szCs w:val="21"/>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响应文件的</w:t>
      </w:r>
      <w:r>
        <w:rPr>
          <w:rFonts w:hint="eastAsia" w:ascii="宋体" w:hAnsi="宋体" w:eastAsia="宋体" w:cs="宋体"/>
          <w:color w:val="auto"/>
          <w:sz w:val="21"/>
          <w:szCs w:val="21"/>
          <w:highlight w:val="none"/>
        </w:rPr>
        <w:t>递交截止时间</w:t>
      </w:r>
      <w:r>
        <w:rPr>
          <w:rFonts w:hint="eastAsia" w:ascii="宋体" w:hAnsi="宋体" w:eastAsia="宋体" w:cs="宋体"/>
          <w:color w:val="auto"/>
          <w:sz w:val="21"/>
          <w:szCs w:val="21"/>
          <w:highlight w:val="none"/>
          <w:lang w:val="en-US" w:eastAsia="zh-CN"/>
        </w:rPr>
        <w:t>到后，采购人将于_</w:t>
      </w:r>
      <w:r>
        <w:rPr>
          <w:rFonts w:hint="eastAsia" w:ascii="宋体" w:hAnsi="宋体" w:eastAsia="宋体" w:cs="宋体"/>
          <w:color w:val="auto"/>
          <w:sz w:val="21"/>
          <w:szCs w:val="21"/>
          <w:highlight w:val="none"/>
          <w:u w:val="single"/>
          <w:lang w:val="en-US" w:eastAsia="zh-CN"/>
        </w:rPr>
        <w:t>交通饭店三楼会议室</w:t>
      </w:r>
      <w:r>
        <w:rPr>
          <w:rFonts w:hint="eastAsia" w:ascii="宋体" w:hAnsi="宋体" w:eastAsia="宋体" w:cs="宋体"/>
          <w:color w:val="auto"/>
          <w:sz w:val="21"/>
          <w:szCs w:val="21"/>
          <w:highlight w:val="none"/>
          <w:lang w:val="en-US" w:eastAsia="zh-CN"/>
        </w:rPr>
        <w:t>_（地点）组织进行响应文件的启封。供应商的法定代表人或授权代理人应携带本人身份证、</w:t>
      </w:r>
      <w:r>
        <w:rPr>
          <w:rFonts w:hint="eastAsia" w:ascii="宋体" w:hAnsi="宋体" w:eastAsia="宋体" w:cs="宋体"/>
          <w:color w:val="auto"/>
          <w:sz w:val="21"/>
          <w:szCs w:val="21"/>
          <w:highlight w:val="none"/>
        </w:rPr>
        <w:t>授权代理人</w:t>
      </w:r>
      <w:r>
        <w:rPr>
          <w:rFonts w:hint="eastAsia" w:ascii="宋体" w:hAnsi="宋体" w:eastAsia="宋体" w:cs="宋体"/>
          <w:color w:val="auto"/>
          <w:sz w:val="21"/>
          <w:szCs w:val="21"/>
          <w:highlight w:val="none"/>
          <w:lang w:val="en-US" w:eastAsia="zh-CN"/>
        </w:rPr>
        <w:t>应携带授权委托书准时参加启封会议。</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本项目不收取响应保证金。</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本次采购公告在</w:t>
      </w:r>
      <w:r>
        <w:rPr>
          <w:rFonts w:hint="eastAsia" w:ascii="宋体" w:hAnsi="宋体" w:eastAsia="宋体" w:cs="宋体"/>
          <w:color w:val="auto"/>
          <w:sz w:val="21"/>
          <w:szCs w:val="21"/>
          <w:highlight w:val="none"/>
          <w:lang w:val="en-US" w:eastAsia="zh-CN"/>
        </w:rPr>
        <w:t>安徽交运集团网站（</w:t>
      </w:r>
      <w:r>
        <w:rPr>
          <w:rFonts w:hint="eastAsia" w:ascii="宋体" w:hAnsi="宋体" w:eastAsia="宋体" w:cs="宋体"/>
          <w:sz w:val="21"/>
          <w:szCs w:val="21"/>
          <w:highlight w:val="none"/>
        </w:rPr>
        <w:t>http://www.ahjyjt.com.cn/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上发布。</w:t>
      </w:r>
    </w:p>
    <w:p>
      <w:pPr>
        <w:pStyle w:val="6"/>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eastAsia" w:ascii="宋体" w:hAnsi="宋体" w:eastAsia="宋体" w:cs="宋体"/>
          <w:bCs w:val="0"/>
          <w:color w:val="auto"/>
          <w:sz w:val="21"/>
          <w:szCs w:val="21"/>
          <w:highlight w:val="none"/>
        </w:rPr>
      </w:pPr>
      <w:bookmarkStart w:id="37" w:name="_Toc8501"/>
      <w:bookmarkStart w:id="38" w:name="_Toc14943_WPSOffice_Level2"/>
      <w:bookmarkStart w:id="39" w:name="_Toc321_WPSOffice_Level2"/>
      <w:bookmarkStart w:id="40" w:name="_Toc26829"/>
      <w:bookmarkStart w:id="41" w:name="_Toc28571_WPSOffice_Level2"/>
      <w:bookmarkStart w:id="42" w:name="_Toc525632592"/>
      <w:bookmarkStart w:id="43" w:name="_Toc20572_WPSOffice_Level2"/>
      <w:r>
        <w:rPr>
          <w:rFonts w:hint="eastAsia" w:ascii="宋体" w:hAnsi="宋体" w:eastAsia="宋体" w:cs="宋体"/>
          <w:bCs w:val="0"/>
          <w:color w:val="auto"/>
          <w:sz w:val="21"/>
          <w:szCs w:val="21"/>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w:t>
      </w:r>
      <w:r>
        <w:rPr>
          <w:rFonts w:hint="eastAsia" w:ascii="宋体" w:hAnsi="宋体" w:eastAsia="宋体" w:cs="宋体"/>
          <w:color w:val="auto"/>
          <w:sz w:val="21"/>
          <w:szCs w:val="21"/>
          <w:highlight w:val="none"/>
          <w:u w:val="single"/>
          <w:lang w:val="en-US" w:eastAsia="zh-CN"/>
        </w:rPr>
        <w:t xml:space="preserve"> 安徽交运集团汽车销售有限公司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合肥市胜利路35号 交通饭店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230011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r>
        <w:rPr>
          <w:rFonts w:hint="eastAsia" w:ascii="宋体" w:hAnsi="宋体" w:eastAsia="宋体" w:cs="宋体"/>
          <w:color w:val="auto"/>
          <w:sz w:val="21"/>
          <w:szCs w:val="21"/>
          <w:highlight w:val="none"/>
          <w:u w:val="single"/>
          <w:lang w:val="en-US" w:eastAsia="zh-CN"/>
        </w:rPr>
        <w:t xml:space="preserve"> 张倩 </w:t>
      </w:r>
      <w:r>
        <w:rPr>
          <w:rFonts w:hint="eastAsia" w:ascii="宋体" w:hAnsi="宋体" w:eastAsia="宋体" w:cs="宋体"/>
          <w:color w:val="auto"/>
          <w:sz w:val="21"/>
          <w:szCs w:val="21"/>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0551-64299058 </w:t>
      </w:r>
    </w:p>
    <w:p>
      <w:pPr>
        <w:pageBreakBefore w:val="0"/>
        <w:kinsoku/>
        <w:wordWrap/>
        <w:overflowPunct/>
        <w:topLinePunct w:val="0"/>
        <w:autoSpaceDE/>
        <w:autoSpaceDN/>
        <w:bidi w:val="0"/>
        <w:adjustRightInd/>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u w:val="single"/>
          <w:lang w:val="en-US" w:eastAsia="zh-CN"/>
        </w:rPr>
        <w:t xml:space="preserve"> ahjyxs@163.com </w:t>
      </w:r>
      <w:r>
        <w:rPr>
          <w:rFonts w:hint="eastAsia" w:ascii="宋体" w:hAnsi="宋体" w:eastAsia="宋体" w:cs="宋体"/>
          <w:color w:val="auto"/>
          <w:sz w:val="21"/>
          <w:szCs w:val="21"/>
          <w:highlight w:val="none"/>
        </w:rPr>
        <w:t xml:space="preserve"> </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2023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26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5"/>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0000FF"/>
          <w:highlight w:val="none"/>
        </w:rPr>
      </w:pPr>
      <w:r>
        <w:rPr>
          <w:rFonts w:hint="default" w:ascii="Times New Roman" w:hAnsi="Times New Roman" w:cs="Times New Roman"/>
          <w:color w:val="0000FF"/>
          <w:highlight w:val="none"/>
        </w:rPr>
        <w:t>3.2.1 报价应包括国家规定的增值税税金</w:t>
      </w:r>
      <w:r>
        <w:rPr>
          <w:rFonts w:hint="eastAsia" w:ascii="Times New Roman" w:hAnsi="Times New Roman" w:cs="Times New Roman"/>
          <w:color w:val="0000FF"/>
          <w:highlight w:val="none"/>
          <w:lang w:eastAsia="zh-CN"/>
        </w:rPr>
        <w:t>，</w:t>
      </w:r>
      <w:r>
        <w:rPr>
          <w:rFonts w:hint="eastAsia" w:ascii="Times New Roman" w:hAnsi="Times New Roman" w:cs="Times New Roman"/>
          <w:color w:val="0000FF"/>
          <w:highlight w:val="none"/>
          <w:lang w:val="en-US" w:eastAsia="zh-CN"/>
        </w:rPr>
        <w:t>供应商应提供增值税发票13%</w:t>
      </w:r>
      <w:r>
        <w:rPr>
          <w:rFonts w:hint="default" w:ascii="Times New Roman" w:hAnsi="Times New Roman" w:cs="Times New Roman"/>
          <w:color w:val="0000FF"/>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lang w:val="en-US" w:eastAsia="zh-CN"/>
        </w:rPr>
        <w:t>胶状密封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green"/>
          <w:lang w:val="en-US" w:eastAsia="zh-CN"/>
        </w:rPr>
      </w:pPr>
      <w:r>
        <w:rPr>
          <w:rFonts w:hint="default" w:ascii="Times New Roman" w:hAnsi="Times New Roman" w:cs="Times New Roman"/>
          <w:color w:val="auto"/>
          <w:highlight w:val="green"/>
        </w:rPr>
        <w:t>4.1.1</w:t>
      </w:r>
      <w:r>
        <w:rPr>
          <w:rFonts w:hint="default" w:ascii="Times New Roman" w:hAnsi="Times New Roman" w:cs="Times New Roman"/>
          <w:color w:val="auto"/>
          <w:highlight w:val="green"/>
          <w:lang w:eastAsia="zh-CN"/>
        </w:rPr>
        <w:t>响应文件</w:t>
      </w:r>
      <w:r>
        <w:rPr>
          <w:rFonts w:hint="eastAsia" w:ascii="Times New Roman" w:hAnsi="Times New Roman" w:cs="Times New Roman"/>
          <w:color w:val="auto"/>
          <w:highlight w:val="green"/>
          <w:lang w:val="en-US" w:eastAsia="zh-CN"/>
        </w:rPr>
        <w:t>正、副本</w:t>
      </w:r>
      <w:r>
        <w:rPr>
          <w:rFonts w:hint="default" w:ascii="Times New Roman" w:hAnsi="Times New Roman" w:cs="Times New Roman"/>
          <w:color w:val="auto"/>
          <w:highlight w:val="green"/>
        </w:rPr>
        <w:t>应</w:t>
      </w:r>
      <w:r>
        <w:rPr>
          <w:rFonts w:hint="eastAsia" w:ascii="Times New Roman" w:hAnsi="Times New Roman" w:cs="Times New Roman"/>
          <w:color w:val="auto"/>
          <w:highlight w:val="green"/>
          <w:lang w:val="en-US" w:eastAsia="zh-CN"/>
        </w:rPr>
        <w:t>胶装</w:t>
      </w:r>
      <w:r>
        <w:rPr>
          <w:rFonts w:hint="default" w:ascii="Times New Roman" w:hAnsi="Times New Roman" w:cs="Times New Roman"/>
          <w:color w:val="auto"/>
          <w:highlight w:val="green"/>
        </w:rPr>
        <w:t>密封包装</w:t>
      </w:r>
      <w:r>
        <w:rPr>
          <w:rFonts w:hint="eastAsia" w:ascii="Times New Roman" w:hAnsi="Times New Roman" w:cs="Times New Roman"/>
          <w:color w:val="auto"/>
          <w:highlight w:val="green"/>
          <w:lang w:val="en-US" w:eastAsia="zh-CN"/>
        </w:rPr>
        <w:t>在一个封套内</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hint="eastAsia" w:ascii="Times New Roman" w:hAnsi="Times New Roman"/>
          <w:color w:val="auto"/>
          <w:highlight w:val="none"/>
          <w:lang w:val="en-US" w:eastAsia="zh-CN"/>
        </w:rPr>
        <w:t>有权</w:t>
      </w:r>
      <w:r>
        <w:rPr>
          <w:rFonts w:ascii="Times New Roman" w:hAnsi="Times New Roman"/>
          <w:color w:val="auto"/>
          <w:highlight w:val="none"/>
        </w:rPr>
        <w:t>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2665697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14201257"/>
      <w:bookmarkStart w:id="63" w:name="_Toc26656988"/>
      <w:bookmarkStart w:id="64"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14201263"/>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5"/>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8"/>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31322_WPSOffice_Level2"/>
      <w:bookmarkStart w:id="75" w:name="_Toc8414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5114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8934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5"/>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r>
        <w:rPr>
          <w:rFonts w:hint="eastAsia" w:ascii="宋体" w:hAnsi="宋体" w:eastAsia="宋体" w:cs="宋体"/>
          <w:szCs w:val="21"/>
          <w:lang w:eastAsia="zh-CN"/>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default" w:ascii="宋体" w:hAnsi="宋体" w:cs="宋体" w:eastAsiaTheme="minorEastAsia"/>
          <w:kern w:val="0"/>
          <w:szCs w:val="21"/>
          <w:lang w:val="en-US" w:eastAsia="zh-CN"/>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w:t>
      </w:r>
      <w:r>
        <w:rPr>
          <w:rFonts w:hint="eastAsia" w:asciiTheme="minorEastAsia" w:hAnsiTheme="minorEastAsia" w:cstheme="minorEastAsia"/>
          <w:szCs w:val="21"/>
          <w:lang w:val="en-US" w:eastAsia="zh-CN"/>
        </w:rPr>
        <w:t>5</w:t>
      </w:r>
      <w:r>
        <w:rPr>
          <w:rFonts w:hint="eastAsia" w:asciiTheme="minorEastAsia" w:hAnsiTheme="minorEastAsia" w:cstheme="minorEastAsia"/>
          <w:szCs w:val="21"/>
        </w:rPr>
        <w:t>个工作日内，</w:t>
      </w:r>
      <w:r>
        <w:rPr>
          <w:rFonts w:hint="eastAsia" w:asciiTheme="minorEastAsia" w:hAnsiTheme="minorEastAsia" w:cstheme="minorEastAsia"/>
          <w:szCs w:val="21"/>
          <w:lang w:val="en-US" w:eastAsia="zh-CN"/>
        </w:rPr>
        <w:t>一次性付清。</w:t>
      </w:r>
    </w:p>
    <w:p>
      <w:pPr>
        <w:pStyle w:val="8"/>
      </w:pPr>
    </w:p>
    <w:p>
      <w:pPr>
        <w:pStyle w:val="3"/>
        <w:rPr>
          <w:rFonts w:asciiTheme="minorEastAsia" w:hAnsiTheme="minorEastAsia" w:cstheme="minorEastAsia"/>
          <w:szCs w:val="21"/>
        </w:rPr>
      </w:pPr>
      <w:r>
        <w:rPr>
          <w:rFonts w:hint="eastAsia" w:asciiTheme="minorEastAsia" w:hAnsiTheme="minorEastAsia" w:cstheme="minorEastAsia"/>
          <w:szCs w:val="21"/>
        </w:rPr>
        <w:t>6.2 付款账户</w:t>
      </w:r>
    </w:p>
    <w:p>
      <w:pPr>
        <w:pStyle w:val="4"/>
        <w:rPr>
          <w:rFonts w:asciiTheme="minorEastAsia" w:hAnsiTheme="minorEastAsia" w:cstheme="minorEastAsia"/>
          <w:szCs w:val="21"/>
        </w:rPr>
      </w:pPr>
      <w:r>
        <w:rPr>
          <w:rFonts w:hint="eastAsia" w:asciiTheme="minorEastAsia" w:hAnsiTheme="minorEastAsia" w:cstheme="minorEastAsia"/>
          <w:szCs w:val="21"/>
        </w:rPr>
        <w:t>账户名：</w:t>
      </w:r>
    </w:p>
    <w:p>
      <w:pPr>
        <w:pStyle w:val="4"/>
        <w:rPr>
          <w:rFonts w:asciiTheme="minorEastAsia" w:hAnsiTheme="minorEastAsia" w:cstheme="minorEastAsia"/>
          <w:szCs w:val="21"/>
        </w:rPr>
      </w:pPr>
    </w:p>
    <w:p>
      <w:pPr>
        <w:pStyle w:val="4"/>
        <w:rPr>
          <w:rFonts w:asciiTheme="minorEastAsia" w:hAnsiTheme="minorEastAsia" w:cstheme="minorEastAsia"/>
          <w:szCs w:val="21"/>
        </w:rPr>
      </w:pPr>
      <w:r>
        <w:rPr>
          <w:rFonts w:hint="eastAsia" w:asciiTheme="minorEastAsia" w:hAnsiTheme="minorEastAsia" w:cstheme="minorEastAsia"/>
          <w:szCs w:val="21"/>
        </w:rPr>
        <w:t>账号：</w:t>
      </w:r>
    </w:p>
    <w:p>
      <w:pPr>
        <w:pStyle w:val="4"/>
        <w:rPr>
          <w:rFonts w:asciiTheme="minorEastAsia" w:hAnsiTheme="minorEastAsia" w:cstheme="minorEastAsia"/>
          <w:szCs w:val="21"/>
        </w:rPr>
      </w:pPr>
    </w:p>
    <w:p>
      <w:pPr>
        <w:pStyle w:val="4"/>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4"/>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5"/>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采购需求及清单</w:t>
      </w:r>
      <w:bookmarkEnd w:id="91"/>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w:t>
      </w:r>
    </w:p>
    <w:tbl>
      <w:tblPr>
        <w:tblStyle w:val="12"/>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32"/>
        <w:gridCol w:w="578"/>
        <w:gridCol w:w="504"/>
        <w:gridCol w:w="835"/>
        <w:gridCol w:w="658"/>
        <w:gridCol w:w="540"/>
        <w:gridCol w:w="636"/>
        <w:gridCol w:w="4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6" w:hRule="atLeast"/>
          <w:jc w:val="center"/>
        </w:trPr>
        <w:tc>
          <w:tcPr>
            <w:tcW w:w="532"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序号</w:t>
            </w:r>
          </w:p>
        </w:tc>
        <w:tc>
          <w:tcPr>
            <w:tcW w:w="57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车辆类型</w:t>
            </w:r>
          </w:p>
        </w:tc>
        <w:tc>
          <w:tcPr>
            <w:tcW w:w="50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品牌</w:t>
            </w:r>
          </w:p>
        </w:tc>
        <w:tc>
          <w:tcPr>
            <w:tcW w:w="8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车型</w:t>
            </w:r>
          </w:p>
        </w:tc>
        <w:tc>
          <w:tcPr>
            <w:tcW w:w="65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数量（辆）</w:t>
            </w:r>
          </w:p>
        </w:tc>
        <w:tc>
          <w:tcPr>
            <w:tcW w:w="54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座位数</w:t>
            </w:r>
          </w:p>
        </w:tc>
        <w:tc>
          <w:tcPr>
            <w:tcW w:w="636"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颜色</w:t>
            </w:r>
          </w:p>
        </w:tc>
        <w:tc>
          <w:tcPr>
            <w:tcW w:w="4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主要配置及技术参数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70" w:hRule="atLeast"/>
          <w:jc w:val="center"/>
        </w:trPr>
        <w:tc>
          <w:tcPr>
            <w:tcW w:w="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小型轿车</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迈腾</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一汽大众迈腾200万辆纪念版280TSI领先型（1.4T）</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5座</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幻影黑</w:t>
            </w:r>
          </w:p>
        </w:tc>
        <w:tc>
          <w:tcPr>
            <w:tcW w:w="47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景天窗、四门无钥匙进入、流水式转向尾灯、Micro-fiber科技超纤皮质座椅、前排四向调节头枕、前排12向电动调节座椅、前排座椅加热、电动折叠外后视镜、自动防炫目内后视镜、雨量感应雨刮、三区独立自动空调、LED透镜前大灯、自动感应大灯（带离回家功能）、前雾灯（带转弯自动辅助照明功能）、胎压监测报警、前后8探头倒车雷达、定速巡航、一键启动、翻标隐藏式倒车影像、MKB多次碰撞预防系统、MKE疲劳驾驶提醒、8寸液晶仪表、8寸中控屏、8扬声器高保真音响</w:t>
            </w:r>
          </w:p>
        </w:tc>
      </w:tr>
    </w:tbl>
    <w:p>
      <w:pPr>
        <w:pStyle w:val="8"/>
        <w:rPr>
          <w:rFonts w:hint="eastAsia" w:ascii="宋体" w:hAnsi="宋体" w:cs="仿宋_GB2312"/>
          <w:sz w:val="30"/>
          <w:szCs w:val="30"/>
          <w:lang w:val="en-US" w:eastAsia="zh-CN"/>
        </w:rPr>
      </w:pPr>
    </w:p>
    <w:p>
      <w:pPr>
        <w:pStyle w:val="8"/>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Style w:val="12"/>
        <w:tblW w:w="9000"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7"/>
        <w:gridCol w:w="2475"/>
        <w:gridCol w:w="1740"/>
        <w:gridCol w:w="3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w:t>
            </w:r>
          </w:p>
        </w:tc>
        <w:tc>
          <w:tcPr>
            <w:tcW w:w="3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智联型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驱动</w:t>
            </w:r>
          </w:p>
        </w:tc>
        <w:tc>
          <w:tcPr>
            <w:tcW w:w="33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排挡</w:t>
            </w:r>
          </w:p>
        </w:tc>
        <w:tc>
          <w:tcPr>
            <w:tcW w:w="33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6MT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整车参数</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长×宽×高（mm）</w:t>
            </w:r>
          </w:p>
        </w:tc>
        <w:tc>
          <w:tcPr>
            <w:tcW w:w="33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5266×1850×1790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轴距（mm）</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轮距(前/后)(mm)</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1570/1570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货厢长×宽×高(mm)</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1510×1562×475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最小离地间隙(mm)</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接近角/离去角(°)</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最小转弯半径(m)</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满载总质量(kg)</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整车装备质量(kg)</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载质量(kg）</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油箱容量(L)</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最高车速（km/h）</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型号</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QR25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燃油类型</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排放标准</w:t>
            </w:r>
          </w:p>
        </w:tc>
        <w:tc>
          <w:tcPr>
            <w:tcW w:w="335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国6B+OBD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排量(L)</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额定功率(Kw)</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最大扭矩(N·m)</w:t>
            </w:r>
          </w:p>
        </w:tc>
        <w:tc>
          <w:tcPr>
            <w:tcW w:w="3358" w:type="dxa"/>
            <w:tcBorders>
              <w:top w:val="single" w:color="000000" w:sz="4" w:space="0"/>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行驶机构</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悬挂</w:t>
            </w:r>
          </w:p>
        </w:tc>
        <w:tc>
          <w:tcPr>
            <w:tcW w:w="3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前悬：双叉臂+稳定杆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后悬：钢板弹簧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制动系统</w:t>
            </w:r>
          </w:p>
        </w:tc>
        <w:tc>
          <w:tcPr>
            <w:tcW w:w="335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前盘后鼓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255/70R16</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铝轮毂</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备胎</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255/70R16钢轮</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255/60R18铝轮</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舒适配置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多功能方向盘（高度可调）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PU</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真皮</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单区手动空调（花粉过滤）</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双区自动空调（花粉过滤）</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第二排出风口</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司机座椅</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6向手动调节（绒布）</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中控面板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黑色</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钢琴烤漆</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内门把手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黑色</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镀铬</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PU</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真皮</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上车辅助拉手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副司机侧1个</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车内辅助拉手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副司机1个+第二排左右各1个（车顶）</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中控门锁</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智能钥匙+一键启动</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12V电源（2个）</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眼镜盒</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地图灯（2个普通灯+氛围灯）+室内灯</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中控台2个+仪表台左右各1个</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司机侧电动车窗一键升降/防夹</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四门电动车窗</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外观</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电磁式加油口盖</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外门把手/后箱门把手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镀铬</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镀铬</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镀铬</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安全配置</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双安全气囊</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发动机防盗</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ABS+EBD+BA</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车辆动态控制系统（VDC）</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坡道起步辅助（HHC）</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牵引力控制（TCS）</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电子限滑差速（BTCS）</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主动防侧翻（ROP）</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镀铬手动折叠+电动调节</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镀铬电动折叠+电动调节+转向灯+摄像头</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自动防眩目</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高度可调前大灯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卤素</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前雾灯</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后雾灯</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日间行车灯</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自动大灯</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高位刹车灯 HMSL</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前排安全带（三点式+预紧+高度可调）</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第二排安全带（两侧三点式+中间两点式）</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胎压监测</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儿童安全锁</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影音系统</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扬声器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2个</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4个</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9寸显示屏（AM+FM+USB）</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导航+倒车影像</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导航+倒车显示（AVM）</w:t>
            </w:r>
          </w:p>
        </w:tc>
        <w:tc>
          <w:tcPr>
            <w:tcW w:w="3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内绳钩</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前扰流板</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侧踏板</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挡泥板</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防滚架</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反光背心</w:t>
            </w:r>
          </w:p>
        </w:tc>
        <w:tc>
          <w:tcPr>
            <w:tcW w:w="3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75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制式车样，加警灯、警报</w:t>
            </w:r>
          </w:p>
        </w:tc>
      </w:tr>
    </w:tbl>
    <w:p>
      <w:pPr>
        <w:pStyle w:val="8"/>
        <w:rPr>
          <w:rFonts w:hint="eastAsia" w:ascii="宋体" w:hAnsi="宋体" w:cs="仿宋_GB2312"/>
          <w:sz w:val="30"/>
          <w:szCs w:val="30"/>
          <w:lang w:val="en-US" w:eastAsia="zh-CN"/>
        </w:rPr>
      </w:pPr>
    </w:p>
    <w:p>
      <w:pPr>
        <w:pStyle w:val="8"/>
        <w:rPr>
          <w:rFonts w:hint="eastAsia" w:ascii="宋体" w:hAnsi="宋体" w:cs="仿宋_GB2312"/>
          <w:sz w:val="30"/>
          <w:szCs w:val="30"/>
          <w:lang w:val="en-US" w:eastAsia="zh-CN"/>
        </w:rPr>
      </w:pPr>
    </w:p>
    <w:p>
      <w:pPr>
        <w:pStyle w:val="8"/>
        <w:rPr>
          <w:rFonts w:hint="eastAsia" w:ascii="宋体" w:hAnsi="宋体" w:cs="仿宋_GB2312"/>
          <w:sz w:val="30"/>
          <w:szCs w:val="30"/>
          <w:lang w:val="en-US" w:eastAsia="zh-CN"/>
        </w:rPr>
      </w:pPr>
      <w:r>
        <w:rPr>
          <w:rFonts w:hint="eastAsia" w:ascii="宋体" w:hAnsi="宋体" w:cs="仿宋_GB2312"/>
          <w:sz w:val="30"/>
          <w:szCs w:val="30"/>
          <w:lang w:val="en-US" w:eastAsia="zh-CN"/>
        </w:rPr>
        <w:t>（3）</w:t>
      </w:r>
    </w:p>
    <w:tbl>
      <w:tblPr>
        <w:tblStyle w:val="12"/>
        <w:tblW w:w="8985"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2"/>
        <w:gridCol w:w="5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厂商</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江铃福特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车辆型号</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福特领睿 EcoBoost 170 尊领型PLUS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厂商指导价</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级别</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中型SUV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环保标准</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最大功率(kW)</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最大扭矩(N·m)</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变速箱</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7速湿式双离合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长*宽*高(mm)</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4630*1935*1706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车身结构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5门5座SUV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最高车速(km/h)</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工信部综合油耗(L/100km)</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整车质保</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NEDC综合油耗(L/100km)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长度(mm)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宽度(mm)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高度(mm)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轴距(mm)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前轮距(mm)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后轮距(mm)</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车身结构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SUV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车门数(个)</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座位数(个)</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油箱容积(L)</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行李厢容积(L)</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448/1422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整备质量(kg)</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发动机型号</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ECOBOOST4G15F6L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排量(mL)</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排量(L)</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进气形式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气缸排列形式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气缸数(个)</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每缸气门数(个)</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配气机构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DOHC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最大功率(kW)</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最大功率转速(rpm)</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最大扭矩(N・m)</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最大扭矩转速(rpm)</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1500-3000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燃料形式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燃油标号</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92号及以上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供油方式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缸盖材料</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缸体材料</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环保标准</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最大净功率(kW)</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发动机布局</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横置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挡位个数</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变速箱类型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湿式双离合变速箱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简称</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7速湿式双离合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驱动方式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前悬架类型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麦弗逊式独立悬架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后悬架类型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助力类型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车体结构</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承载式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前制动器类型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后制动器类型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驻车制动类型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电子驻车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前轮胎规格</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235/50 R19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后轮胎规格</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235/50 R19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备胎规格</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非完全尺寸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主/副驾驶座安全气囊</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前/后排侧气囊</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前/后排头部气囊(气帘)</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胎压监测功能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●胎压显示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安全带未系提醒</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ISOFIX儿童座椅接口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ABS防抱死</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制动力分配(EBD/CBC等)</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刹车辅助(EBA/BAS/BA等)</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牵引力控制(ASR/TCS/TRC等)</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车身稳定控制(ESC/ESP/DSC等)</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并线辅助</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车道偏离预警系统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车道保持辅助系统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道路交通标识识别</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主动刹车/主动安全系统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疲劳驾驶提示</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前/后驻车雷达</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驾驶辅助影像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●360度全息影像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倒车车侧预警系统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巡航系统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●自适应巡航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驾驶模式切换</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●标准/舒适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自动泊车入位</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发动机启停技术</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自动驻车</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上坡辅助</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陡坡缓降</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天窗类型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●可开启全景天窗（带防夹功能）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轮圈材质</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电动后备厢</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感应后备厢</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车顶行李架</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发动机电子防盗</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车内中控锁</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钥匙类型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●遥控钥匙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无钥匙启动系统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无钥匙进入功能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远程启动功能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方向盘材质</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方向盘位置调节</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●手动上下+前后调节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多功能方向盘</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行车电脑显示屏幕</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全液晶仪表盘</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液晶仪表尺寸</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座椅材质</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主座椅调节方式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●10向电动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副座椅调节方式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●4向电动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主/副驾驶座电动调节</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后排座椅放倒形式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●比例放倒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前/后中央扶手</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后排杯架</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多媒体/充电接口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中控彩色液晶屏幕</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●触控液晶屏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中控液晶屏尺寸</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GPS导航系统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导航路况信息显示</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道路救援呼叫</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中控液晶屏分屏显示</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蓝牙/车载电话</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手机互联/映射</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●支持CarPlay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语音识别控制系统</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●多媒体系统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车联网</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OTA升级</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USB/Type-C接口数量</w:t>
            </w:r>
          </w:p>
        </w:tc>
        <w:tc>
          <w:tcPr>
            <w:tcW w:w="5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扬声器数量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●8喇叭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中控屏幕尺寸</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中控彩色屏幕</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●触控液晶屏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近光灯光源</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远光灯光源</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日间行车灯</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自动头灯</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转向辅助灯</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车前雾灯</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大灯高度可调</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大灯延时关闭</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车内环境氛围灯</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●多色LED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前/后电动车窗</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车窗一键升降功能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车窗防夹手功能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外后视镜功能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内后视镜功能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●手动防眩目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车内化妆镜</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●主驾驶+照明灯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后雨刷</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感应雨刷功能</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●雨量感应式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空调温度控制方式</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后座出风口</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温度分区控制</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车内PM2.5过滤装置</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负离子发生器</w:t>
            </w: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5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制式车样，加警灯、警报</w:t>
            </w:r>
          </w:p>
        </w:tc>
      </w:tr>
    </w:tbl>
    <w:p>
      <w:pPr>
        <w:pStyle w:val="8"/>
        <w:rPr>
          <w:rFonts w:hint="eastAsia" w:ascii="宋体" w:hAnsi="宋体" w:cs="仿宋_GB2312"/>
          <w:sz w:val="30"/>
          <w:szCs w:val="30"/>
          <w:lang w:val="en-US" w:eastAsia="zh-CN"/>
        </w:rPr>
      </w:pPr>
    </w:p>
    <w:p>
      <w:pPr>
        <w:pStyle w:val="8"/>
        <w:rPr>
          <w:rFonts w:hint="eastAsia" w:ascii="宋体" w:hAnsi="宋体" w:cs="仿宋_GB2312"/>
          <w:sz w:val="30"/>
          <w:szCs w:val="30"/>
          <w:lang w:val="en-US" w:eastAsia="zh-CN"/>
        </w:rPr>
      </w:pPr>
      <w:bookmarkStart w:id="139" w:name="_GoBack"/>
      <w:bookmarkEnd w:id="139"/>
    </w:p>
    <w:p>
      <w:pPr>
        <w:pStyle w:val="11"/>
        <w:widowControl w:val="0"/>
        <w:numPr>
          <w:ilvl w:val="0"/>
          <w:numId w:val="0"/>
        </w:numPr>
        <w:spacing w:line="360" w:lineRule="auto"/>
        <w:ind w:right="0" w:right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56"/>
        <w:gridCol w:w="779"/>
        <w:gridCol w:w="820"/>
        <w:gridCol w:w="1265"/>
        <w:gridCol w:w="124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646"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包</w:t>
            </w:r>
          </w:p>
        </w:tc>
        <w:tc>
          <w:tcPr>
            <w:tcW w:w="3256"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品牌型号</w:t>
            </w:r>
          </w:p>
        </w:tc>
        <w:tc>
          <w:tcPr>
            <w:tcW w:w="779"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820"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265" w:type="dxa"/>
            <w:noWrap w:val="0"/>
            <w:vAlign w:val="center"/>
          </w:tcPr>
          <w:p>
            <w:pPr>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颜色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单价</w:t>
            </w:r>
            <w:r>
              <w:rPr>
                <w:rFonts w:hint="eastAsia" w:asciiTheme="minorEastAsia" w:hAnsiTheme="minorEastAsia" w:eastAsiaTheme="minorEastAsia" w:cstheme="minorEastAsia"/>
                <w:sz w:val="24"/>
                <w:szCs w:val="24"/>
                <w:lang w:eastAsia="zh-CN"/>
              </w:rPr>
              <w:t>（元）</w:t>
            </w: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bookmarkStart w:id="92" w:name="_Toc9834_WPSOffice_Level1"/>
            <w:r>
              <w:rPr>
                <w:rFonts w:hint="eastAsia" w:asciiTheme="minorEastAsia" w:hAnsiTheme="minorEastAsia" w:cstheme="minorEastAsia"/>
                <w:i w:val="0"/>
                <w:iCs w:val="0"/>
                <w:color w:val="000000"/>
                <w:kern w:val="0"/>
                <w:sz w:val="24"/>
                <w:szCs w:val="24"/>
                <w:u w:val="none"/>
                <w:lang w:val="en-US" w:eastAsia="zh-CN" w:bidi="ar"/>
              </w:rPr>
              <w:t>1</w:t>
            </w:r>
          </w:p>
        </w:tc>
        <w:tc>
          <w:tcPr>
            <w:tcW w:w="32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迈腾200万辆纪念版280T自动领先版</w:t>
            </w:r>
          </w:p>
        </w:tc>
        <w:tc>
          <w:tcPr>
            <w:tcW w:w="779" w:type="dxa"/>
            <w:noWrap w:val="0"/>
            <w:vAlign w:val="center"/>
          </w:tcPr>
          <w:p>
            <w:pPr>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辆</w:t>
            </w:r>
          </w:p>
        </w:tc>
        <w:tc>
          <w:tcPr>
            <w:tcW w:w="820" w:type="dxa"/>
            <w:noWrap w:val="0"/>
            <w:vAlign w:val="center"/>
          </w:tcPr>
          <w:p>
            <w:pPr>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w:t>
            </w:r>
          </w:p>
        </w:tc>
        <w:tc>
          <w:tcPr>
            <w:tcW w:w="1265"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黑 色</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2</w:t>
            </w:r>
          </w:p>
        </w:tc>
        <w:tc>
          <w:tcPr>
            <w:tcW w:w="32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尼桑纳瓦拉皮卡 2022款2.5L手动两驱智联型</w:t>
            </w:r>
          </w:p>
        </w:tc>
        <w:tc>
          <w:tcPr>
            <w:tcW w:w="779" w:type="dxa"/>
            <w:noWrap w:val="0"/>
            <w:vAlign w:val="center"/>
          </w:tcPr>
          <w:p>
            <w:pPr>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辆</w:t>
            </w:r>
          </w:p>
        </w:tc>
        <w:tc>
          <w:tcPr>
            <w:tcW w:w="820" w:type="dxa"/>
            <w:noWrap w:val="0"/>
            <w:vAlign w:val="center"/>
          </w:tcPr>
          <w:p>
            <w:pPr>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w:t>
            </w:r>
          </w:p>
        </w:tc>
        <w:tc>
          <w:tcPr>
            <w:tcW w:w="1265"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制式车辆</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4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3</w:t>
            </w:r>
          </w:p>
        </w:tc>
        <w:tc>
          <w:tcPr>
            <w:tcW w:w="3256"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江铃福特领睿</w:t>
            </w:r>
          </w:p>
        </w:tc>
        <w:tc>
          <w:tcPr>
            <w:tcW w:w="779" w:type="dxa"/>
            <w:noWrap w:val="0"/>
            <w:vAlign w:val="center"/>
          </w:tcPr>
          <w:p>
            <w:pPr>
              <w:ind w:firstLine="0" w:firstLine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辆</w:t>
            </w:r>
          </w:p>
        </w:tc>
        <w:tc>
          <w:tcPr>
            <w:tcW w:w="820" w:type="dxa"/>
            <w:noWrap w:val="0"/>
            <w:vAlign w:val="center"/>
          </w:tcPr>
          <w:p>
            <w:pPr>
              <w:ind w:firstLine="0" w:firstLineChars="0"/>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1</w:t>
            </w:r>
          </w:p>
        </w:tc>
        <w:tc>
          <w:tcPr>
            <w:tcW w:w="1265"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制式车辆</w:t>
            </w:r>
          </w:p>
        </w:tc>
        <w:tc>
          <w:tcPr>
            <w:tcW w:w="1248" w:type="dxa"/>
            <w:noWrap w:val="0"/>
            <w:vAlign w:val="center"/>
          </w:tcPr>
          <w:p>
            <w:pPr>
              <w:ind w:firstLine="0" w:firstLineChars="0"/>
              <w:jc w:val="center"/>
              <w:rPr>
                <w:rFonts w:hint="eastAsia" w:asciiTheme="minorEastAsia" w:hAnsiTheme="minorEastAsia" w:eastAsiaTheme="minorEastAsia" w:cstheme="minorEastAsia"/>
                <w:sz w:val="24"/>
                <w:szCs w:val="24"/>
              </w:rPr>
            </w:pPr>
          </w:p>
        </w:tc>
        <w:tc>
          <w:tcPr>
            <w:tcW w:w="978" w:type="dxa"/>
            <w:noWrap w:val="0"/>
            <w:vAlign w:val="center"/>
          </w:tcPr>
          <w:p>
            <w:pPr>
              <w:ind w:firstLine="0" w:firstLineChars="0"/>
              <w:jc w:val="center"/>
              <w:rPr>
                <w:rFonts w:hint="eastAsia" w:asciiTheme="minorEastAsia" w:hAnsiTheme="minorEastAsia" w:eastAsiaTheme="minorEastAsia" w:cstheme="minorEastAsia"/>
                <w:sz w:val="24"/>
                <w:szCs w:val="24"/>
              </w:rPr>
            </w:pPr>
          </w:p>
        </w:tc>
      </w:tr>
    </w:tbl>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宋体" w:hAnsi="宋体" w:eastAsia="宋体" w:cs="宋体"/>
          <w:b/>
          <w:bCs/>
          <w:color w:val="auto"/>
          <w:sz w:val="21"/>
          <w:szCs w:val="21"/>
          <w:highlight w:val="none"/>
          <w:lang w:val="en-US" w:eastAsia="zh-CN"/>
        </w:rPr>
      </w:pPr>
    </w:p>
    <w:p>
      <w:pPr>
        <w:pStyle w:val="8"/>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2"/>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3" w:name="_Toc17394_WPSOffice_Level1"/>
      <w:bookmarkStart w:id="94" w:name="_Toc27552_WPSOffice_Level1"/>
      <w:bookmarkStart w:id="95" w:name="_Toc5145_WPSOffice_Level1"/>
      <w:bookmarkStart w:id="96"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3"/>
      <w:bookmarkEnd w:id="94"/>
      <w:bookmarkEnd w:id="95"/>
      <w:bookmarkEnd w:id="96"/>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7" w:name="_Toc25232_WPSOffice_Level2"/>
      <w:bookmarkStart w:id="98"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7"/>
      <w:bookmarkEnd w:id="98"/>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99" w:name="_Toc20076_WPSOffice_Level2"/>
      <w:bookmarkStart w:id="100"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99"/>
      <w:bookmarkEnd w:id="100"/>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1" w:name="_Toc21974_WPSOffice_Level2"/>
      <w:bookmarkStart w:id="102" w:name="_Toc22351_WPSOffice_Level2"/>
      <w:r>
        <w:rPr>
          <w:rFonts w:hint="default" w:ascii="Times New Roman" w:hAnsi="Times New Roman" w:eastAsia="黑体" w:cs="Times New Roman"/>
          <w:color w:val="auto"/>
          <w:sz w:val="28"/>
          <w:szCs w:val="28"/>
          <w:highlight w:val="none"/>
        </w:rPr>
        <w:t>目     录</w:t>
      </w:r>
      <w:bookmarkEnd w:id="101"/>
      <w:bookmarkEnd w:id="102"/>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numPr>
          <w:ilvl w:val="0"/>
          <w:numId w:val="4"/>
        </w:num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3" w:name="_Toc29399_WPSOffice_Level1"/>
      <w:bookmarkStart w:id="104" w:name="_Toc18312_WPSOffice_Level1"/>
      <w:bookmarkStart w:id="105" w:name="_Toc2765_WPSOffice_Level1"/>
      <w:bookmarkStart w:id="106" w:name="_Toc30031_WPSOffice_Level1"/>
      <w:bookmarkStart w:id="107" w:name="_Toc1687_WPSOffice_Level1"/>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3"/>
      <w:bookmarkEnd w:id="104"/>
      <w:bookmarkEnd w:id="105"/>
      <w:bookmarkEnd w:id="106"/>
      <w:bookmarkEnd w:id="107"/>
    </w:p>
    <w:p>
      <w:pPr>
        <w:pStyle w:val="8"/>
        <w:numPr>
          <w:ilvl w:val="0"/>
          <w:numId w:val="0"/>
        </w:numPr>
        <w:rPr>
          <w:rFonts w:hint="default"/>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8"/>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8" w:name="_Toc32350_WPSOffice_Level1"/>
      <w:bookmarkStart w:id="109" w:name="_Toc12530_WPSOffice_Level1"/>
      <w:bookmarkStart w:id="110" w:name="_Toc18668_WPSOffice_Level1"/>
      <w:bookmarkStart w:id="111" w:name="_Toc8695_WPSOffice_Level1"/>
      <w:bookmarkStart w:id="112"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8"/>
      <w:bookmarkEnd w:id="109"/>
      <w:bookmarkEnd w:id="110"/>
      <w:bookmarkEnd w:id="111"/>
      <w:bookmarkEnd w:id="112"/>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3" w:name="_Toc20803_WPSOffice_Level2"/>
      <w:bookmarkStart w:id="114" w:name="_Toc5153_WPSOffice_Level2"/>
      <w:r>
        <w:rPr>
          <w:rFonts w:hint="default" w:ascii="Times New Roman" w:hAnsi="Times New Roman" w:eastAsia="黑体" w:cs="Times New Roman"/>
          <w:bCs/>
          <w:color w:val="auto"/>
          <w:sz w:val="28"/>
          <w:szCs w:val="28"/>
          <w:highlight w:val="none"/>
        </w:rPr>
        <w:t>2-1 法定代表人身份证明</w:t>
      </w:r>
      <w:bookmarkEnd w:id="113"/>
      <w:bookmarkEnd w:id="114"/>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年龄：</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pStyle w:val="8"/>
        <w:rPr>
          <w:rFonts w:hint="default"/>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5" w:name="_Toc12035_WPSOffice_Level2"/>
      <w:bookmarkStart w:id="116"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5"/>
      <w:bookmarkEnd w:id="116"/>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7" w:name="_Toc24567_WPSOffice_Level1"/>
      <w:bookmarkStart w:id="118" w:name="_Toc15186_WPSOffice_Level1"/>
      <w:bookmarkStart w:id="119" w:name="_Toc24530_WPSOffice_Level1"/>
      <w:bookmarkStart w:id="120" w:name="_Toc32085_WPSOffice_Level1"/>
      <w:bookmarkStart w:id="121"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7"/>
      <w:bookmarkEnd w:id="118"/>
      <w:bookmarkEnd w:id="119"/>
      <w:bookmarkEnd w:id="120"/>
      <w:r>
        <w:rPr>
          <w:rFonts w:hint="eastAsia" w:ascii="Times New Roman" w:hAnsi="Times New Roman" w:eastAsia="黑体" w:cs="Times New Roman"/>
          <w:color w:val="auto"/>
          <w:sz w:val="28"/>
          <w:szCs w:val="28"/>
          <w:highlight w:val="none"/>
          <w:lang w:eastAsia="zh-CN"/>
        </w:rPr>
        <w:t>报价清单</w:t>
      </w:r>
      <w:bookmarkEnd w:id="121"/>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8"/>
        <w:rPr>
          <w:rFonts w:hint="default" w:ascii="Times New Roman" w:hAnsi="Times New Roman" w:eastAsia="黑体" w:cs="Times New Roman"/>
          <w:color w:val="auto"/>
          <w:sz w:val="24"/>
          <w:highlight w:val="none"/>
        </w:rPr>
      </w:pPr>
    </w:p>
    <w:p>
      <w:pPr>
        <w:pStyle w:val="8"/>
        <w:rPr>
          <w:rFonts w:hint="default" w:ascii="Times New Roman" w:hAnsi="Times New Roman" w:eastAsia="黑体" w:cs="Times New Roman"/>
          <w:color w:val="auto"/>
          <w:sz w:val="24"/>
          <w:highlight w:val="none"/>
        </w:rPr>
      </w:pPr>
    </w:p>
    <w:p>
      <w:pPr>
        <w:pStyle w:val="8"/>
        <w:rPr>
          <w:rFonts w:hint="default" w:ascii="Times New Roman" w:hAnsi="Times New Roman" w:eastAsia="黑体" w:cs="Times New Roman"/>
          <w:color w:val="auto"/>
          <w:sz w:val="24"/>
          <w:highlight w:val="none"/>
        </w:rPr>
      </w:pPr>
    </w:p>
    <w:p>
      <w:pPr>
        <w:pStyle w:val="8"/>
        <w:rPr>
          <w:rFonts w:hint="default" w:ascii="Times New Roman" w:hAnsi="Times New Roman" w:eastAsia="黑体" w:cs="Times New Roman"/>
          <w:color w:val="auto"/>
          <w:sz w:val="24"/>
          <w:highlight w:val="none"/>
        </w:rPr>
      </w:pPr>
    </w:p>
    <w:p>
      <w:pPr>
        <w:pStyle w:val="8"/>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2" w:name="_Toc7738_WPSOffice_Level1"/>
      <w:bookmarkStart w:id="123" w:name="_Toc23545_WPSOffice_Level1"/>
      <w:bookmarkStart w:id="124" w:name="_Toc22815_WPSOffice_Level1"/>
      <w:bookmarkStart w:id="125" w:name="_Toc31445_WPSOffice_Level1"/>
      <w:bookmarkStart w:id="126"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7" w:name="_Toc2807_WPSOffice_Level2"/>
      <w:bookmarkStart w:id="128"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2"/>
      <w:bookmarkEnd w:id="123"/>
      <w:bookmarkEnd w:id="124"/>
      <w:bookmarkEnd w:id="125"/>
      <w:bookmarkEnd w:id="126"/>
      <w:bookmarkEnd w:id="127"/>
      <w:bookmarkEnd w:id="128"/>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3"/>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29" w:name="_Toc1452_WPSOffice_Level1"/>
      <w:bookmarkStart w:id="130" w:name="_Toc3772_WPSOffice_Level1"/>
      <w:bookmarkStart w:id="131" w:name="_Toc19004_WPSOffice_Level1"/>
      <w:bookmarkStart w:id="132" w:name="_Toc18547_WPSOffice_Level1"/>
      <w:bookmarkStart w:id="133"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29"/>
      <w:bookmarkEnd w:id="130"/>
      <w:bookmarkEnd w:id="131"/>
      <w:bookmarkEnd w:id="132"/>
      <w:bookmarkEnd w:id="133"/>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8"/>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4" w:name="_Toc9267_WPSOffice_Level1"/>
      <w:bookmarkStart w:id="135" w:name="_Toc3893_WPSOffice_Level1"/>
      <w:bookmarkStart w:id="136" w:name="_Toc30712_WPSOffice_Level1"/>
      <w:bookmarkStart w:id="137" w:name="_Toc5403_WPSOffice_Level1"/>
      <w:bookmarkStart w:id="138" w:name="_Toc12019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4"/>
      <w:bookmarkEnd w:id="135"/>
      <w:bookmarkEnd w:id="136"/>
      <w:bookmarkEnd w:id="137"/>
      <w:bookmarkEnd w:id="138"/>
    </w:p>
    <w:p>
      <w:pPr>
        <w:topLinePunct/>
        <w:spacing w:line="440" w:lineRule="exact"/>
        <w:rPr>
          <w:rFonts w:hint="default" w:ascii="Times New Roman" w:hAnsi="Times New Roman" w:cs="Times New Roman"/>
          <w:bCs/>
          <w:color w:val="auto"/>
          <w:sz w:val="23"/>
          <w:szCs w:val="23"/>
          <w:highlight w:val="none"/>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8"/>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8"/>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8"/>
        <w:rPr>
          <w:rFonts w:hint="default"/>
          <w:color w:val="auto"/>
          <w:highlight w:val="none"/>
        </w:rPr>
      </w:pPr>
    </w:p>
    <w:p>
      <w:pPr>
        <w:pStyle w:val="8"/>
        <w:spacing w:line="440" w:lineRule="exact"/>
        <w:rPr>
          <w:rFonts w:hint="default" w:ascii="Times New Roman" w:hAnsi="Times New Roman" w:cs="Times New Roman"/>
          <w:color w:val="auto"/>
          <w:sz w:val="24"/>
          <w:highlight w:val="none"/>
        </w:rPr>
      </w:pPr>
    </w:p>
    <w:p>
      <w:pPr>
        <w:spacing w:line="400" w:lineRule="atLeast"/>
        <w:jc w:val="both"/>
      </w:pPr>
    </w:p>
    <w:p>
      <w:pPr>
        <w:pStyle w:val="8"/>
      </w:pPr>
    </w:p>
    <w:p>
      <w:pPr>
        <w:pStyle w:val="8"/>
      </w:pPr>
    </w:p>
    <w:p>
      <w:pPr>
        <w:pStyle w:val="8"/>
      </w:pPr>
    </w:p>
    <w:p>
      <w:pPr>
        <w:pStyle w:val="8"/>
      </w:pPr>
    </w:p>
    <w:p>
      <w:pPr>
        <w:pStyle w:val="8"/>
      </w:pPr>
    </w:p>
    <w:p>
      <w:pPr>
        <w:pStyle w:val="8"/>
      </w:pPr>
    </w:p>
    <w:p>
      <w:pPr>
        <w:pStyle w:val="8"/>
      </w:pPr>
    </w:p>
    <w:p>
      <w:pPr>
        <w:pStyle w:val="8"/>
        <w:jc w:val="center"/>
        <w:rPr>
          <w:b/>
          <w:bCs/>
          <w:sz w:val="28"/>
          <w:szCs w:val="28"/>
        </w:rPr>
      </w:pPr>
    </w:p>
    <w:p>
      <w:pPr>
        <w:pStyle w:val="8"/>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8"/>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8"/>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8"/>
        <w:jc w:val="center"/>
        <w:rPr>
          <w:b/>
          <w:bCs/>
          <w:sz w:val="28"/>
          <w:szCs w:val="28"/>
        </w:rPr>
      </w:pPr>
    </w:p>
    <w:p>
      <w:pPr>
        <w:pStyle w:val="8"/>
      </w:pPr>
    </w:p>
    <w:p>
      <w:pPr>
        <w:pStyle w:val="8"/>
      </w:pPr>
    </w:p>
    <w:p>
      <w:pPr>
        <w:pStyle w:val="8"/>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AD1B4E"/>
    <w:rsid w:val="00BA1CAE"/>
    <w:rsid w:val="00D60F2E"/>
    <w:rsid w:val="00EB2C48"/>
    <w:rsid w:val="00F56741"/>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B03575"/>
    <w:rsid w:val="23B5629D"/>
    <w:rsid w:val="23C26E54"/>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25659"/>
    <w:rsid w:val="252C2973"/>
    <w:rsid w:val="2536191C"/>
    <w:rsid w:val="2537405D"/>
    <w:rsid w:val="25374EF4"/>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E076A"/>
    <w:rsid w:val="2E022020"/>
    <w:rsid w:val="2E047F28"/>
    <w:rsid w:val="2E452391"/>
    <w:rsid w:val="2E47051C"/>
    <w:rsid w:val="2E5113E2"/>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6104F"/>
    <w:rsid w:val="512B60B4"/>
    <w:rsid w:val="513118E7"/>
    <w:rsid w:val="51694722"/>
    <w:rsid w:val="517F61AE"/>
    <w:rsid w:val="51995C82"/>
    <w:rsid w:val="51A0391C"/>
    <w:rsid w:val="51B556AE"/>
    <w:rsid w:val="51C621E0"/>
    <w:rsid w:val="51D05EF0"/>
    <w:rsid w:val="51D92A34"/>
    <w:rsid w:val="51F6040A"/>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F511B"/>
    <w:rsid w:val="604A5077"/>
    <w:rsid w:val="605F2621"/>
    <w:rsid w:val="60A14466"/>
    <w:rsid w:val="60AE1BB1"/>
    <w:rsid w:val="60AF1518"/>
    <w:rsid w:val="60DD22F5"/>
    <w:rsid w:val="60E42733"/>
    <w:rsid w:val="6107582C"/>
    <w:rsid w:val="613B0074"/>
    <w:rsid w:val="6153428A"/>
    <w:rsid w:val="617C7F2C"/>
    <w:rsid w:val="61980250"/>
    <w:rsid w:val="61AD3C17"/>
    <w:rsid w:val="61D740F7"/>
    <w:rsid w:val="6228683D"/>
    <w:rsid w:val="624C2A38"/>
    <w:rsid w:val="626F30E7"/>
    <w:rsid w:val="62756CE9"/>
    <w:rsid w:val="6294722E"/>
    <w:rsid w:val="62B660C6"/>
    <w:rsid w:val="62BE1E54"/>
    <w:rsid w:val="62E56056"/>
    <w:rsid w:val="62FE3F08"/>
    <w:rsid w:val="63023C14"/>
    <w:rsid w:val="63295801"/>
    <w:rsid w:val="63416D0D"/>
    <w:rsid w:val="63776804"/>
    <w:rsid w:val="638B6757"/>
    <w:rsid w:val="639E2905"/>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0"/>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7">
    <w:name w:val="Normal Indent"/>
    <w:basedOn w:val="1"/>
    <w:qFormat/>
    <w:uiPriority w:val="0"/>
    <w:pPr>
      <w:ind w:firstLine="420"/>
    </w:pPr>
    <w:rPr>
      <w:szCs w:val="20"/>
    </w:rPr>
  </w:style>
  <w:style w:type="paragraph" w:styleId="8">
    <w:name w:val="Body Text"/>
    <w:basedOn w:val="1"/>
    <w:qFormat/>
    <w:uiPriority w:val="0"/>
    <w:pPr>
      <w:spacing w:after="120"/>
    </w:pPr>
  </w:style>
  <w:style w:type="paragraph" w:styleId="9">
    <w:name w:val="Plain Text"/>
    <w:basedOn w:val="1"/>
    <w:qFormat/>
    <w:uiPriority w:val="99"/>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6"/>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character" w:customStyle="1" w:styleId="36">
    <w:name w:val="font111"/>
    <w:basedOn w:val="14"/>
    <w:qFormat/>
    <w:uiPriority w:val="0"/>
    <w:rPr>
      <w:rFonts w:hint="eastAsia" w:ascii="微软雅黑" w:hAnsi="微软雅黑" w:eastAsia="微软雅黑" w:cs="微软雅黑"/>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10039</Words>
  <Characters>11027</Characters>
  <Lines>0</Lines>
  <Paragraphs>0</Paragraphs>
  <TotalTime>2</TotalTime>
  <ScaleCrop>false</ScaleCrop>
  <LinksUpToDate>false</LinksUpToDate>
  <CharactersWithSpaces>12569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2023-07-28T08:44:45Z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9287CD1DB6F74A3D9E0854E8BB5C20FA</vt:lpwstr>
  </property>
</Properties>
</file>