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7.3公务车辆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 xml:space="preserve"> 年 </w:t>
      </w:r>
      <w:r>
        <w:rPr>
          <w:rFonts w:hint="eastAsia" w:ascii="Times New Roman" w:hAnsi="Times New Roman" w:eastAsia="黑体" w:cs="Times New Roman"/>
          <w:color w:val="auto"/>
          <w:sz w:val="32"/>
          <w:szCs w:val="32"/>
          <w:highlight w:val="none"/>
          <w:u w:val="single"/>
          <w:lang w:val="en-US" w:eastAsia="zh-CN"/>
        </w:rPr>
        <w:t xml:space="preserve">7 </w:t>
      </w:r>
      <w:r>
        <w:rPr>
          <w:rFonts w:hint="default" w:ascii="Times New Roman" w:hAnsi="Times New Roman" w:eastAsia="黑体" w:cs="Times New Roman"/>
          <w:color w:val="auto"/>
          <w:sz w:val="32"/>
          <w:szCs w:val="32"/>
          <w:highlight w:val="none"/>
          <w:u w:val="single"/>
          <w:lang w:eastAsia="zh-CN"/>
        </w:rPr>
        <w:t xml:space="preserve">月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lang w:eastAsia="zh-CN"/>
        </w:rPr>
        <w:t xml:space="preserve"> 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13871"/>
      <w:bookmarkStart w:id="3" w:name="_Toc24354_WPSOffice_Level2"/>
      <w:bookmarkStart w:id="4" w:name="_Toc10395_WPSOffice_Level2"/>
      <w:bookmarkStart w:id="5" w:name="_Toc12765"/>
      <w:bookmarkStart w:id="6" w:name="_Toc6496_WPSOffice_Level2"/>
      <w:bookmarkStart w:id="7" w:name="_Toc525632585"/>
      <w:bookmarkStart w:id="8" w:name="_Toc4489_WPSOffice_Level2"/>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2023年安徽交运集团汽车销售有限公司7.3公务车辆采购项目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1台商务车、2台小型客车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23266_WPSOffice_Level2"/>
      <w:bookmarkStart w:id="10" w:name="_Toc8128_WPSOffice_Level2"/>
      <w:bookmarkStart w:id="11" w:name="_Toc525632586"/>
      <w:bookmarkStart w:id="12" w:name="_Toc18367_WPSOffice_Level2"/>
      <w:bookmarkStart w:id="13" w:name="_Toc18453"/>
      <w:bookmarkStart w:id="14" w:name="_Toc17858_WPSOffice_Level2"/>
      <w:bookmarkStart w:id="15" w:name="_Toc10274"/>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1台商务车、2台小型客车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 xml:space="preserve"> 分包（别克GL8 2023款陆上公务舱652T 舒适型 </w:t>
      </w:r>
      <w:r>
        <w:rPr>
          <w:rFonts w:hint="eastAsia" w:ascii="宋体" w:hAnsi="宋体" w:eastAsia="宋体" w:cs="宋体"/>
          <w:i w:val="0"/>
          <w:iCs w:val="0"/>
          <w:sz w:val="21"/>
          <w:szCs w:val="21"/>
          <w:u w:val="single"/>
          <w:lang w:val="en-US" w:eastAsia="zh-CN"/>
        </w:rPr>
        <w:t>1台 为1包 限价 25万；</w:t>
      </w:r>
      <w:r>
        <w:rPr>
          <w:rFonts w:hint="eastAsia" w:ascii="宋体" w:hAnsi="宋体" w:eastAsia="宋体" w:cs="宋体"/>
          <w:sz w:val="21"/>
          <w:szCs w:val="21"/>
          <w:u w:val="single"/>
          <w:lang w:val="en-US" w:eastAsia="zh-CN"/>
        </w:rPr>
        <w:t>采购</w:t>
      </w:r>
      <w:r>
        <w:rPr>
          <w:rFonts w:hint="eastAsia" w:ascii="宋体" w:hAnsi="宋体" w:eastAsia="宋体" w:cs="宋体"/>
          <w:sz w:val="21"/>
          <w:szCs w:val="21"/>
          <w:u w:val="single"/>
          <w:lang w:val="en-US" w:eastAsia="zh-CN"/>
        </w:rPr>
        <w:tab/>
      </w:r>
      <w:r>
        <w:rPr>
          <w:rFonts w:hint="eastAsia" w:ascii="宋体" w:hAnsi="宋体" w:eastAsia="宋体" w:cs="宋体"/>
          <w:sz w:val="21"/>
          <w:szCs w:val="21"/>
          <w:u w:val="single"/>
          <w:lang w:val="en-US" w:eastAsia="zh-CN"/>
        </w:rPr>
        <w:t>福特新世代全顺15座商务客车 2台 为2包 限价50万）</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75万（包含车辆购置税）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日内完成交货</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6388"/>
      <w:bookmarkStart w:id="20" w:name="_Toc525632587"/>
      <w:bookmarkStart w:id="21" w:name="_Toc29516_WPSOffice_Level2"/>
      <w:bookmarkStart w:id="22" w:name="_Toc22379_WPSOffice_Level2"/>
      <w:bookmarkStart w:id="23" w:name="_Toc1622_WPSOffice_Level2"/>
      <w:bookmarkStart w:id="24" w:name="_Toc31673_WPSOffice_Level2"/>
      <w:bookmarkStart w:id="25" w:name="_Toc3714"/>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①供应商应具备本次采购品牌车辆的销售资质，具备独立法人资格，持有有效的营业执照；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②供应商应为本次采购品牌车辆的制造商或代理商，代理商应具备</w:t>
      </w:r>
      <w:r>
        <w:rPr>
          <w:rFonts w:hint="eastAsia" w:ascii="宋体" w:hAnsi="宋体" w:eastAsia="宋体" w:cs="宋体"/>
          <w:color w:val="auto"/>
          <w:sz w:val="21"/>
          <w:szCs w:val="21"/>
          <w:highlight w:val="none"/>
          <w:u w:val="single"/>
          <w:lang w:val="en-US" w:eastAsia="zh-CN"/>
        </w:rPr>
        <w:t>制造商直接授予的代理授权书</w:t>
      </w:r>
      <w:r>
        <w:rPr>
          <w:rFonts w:hint="eastAsia" w:ascii="宋体" w:hAnsi="宋体" w:eastAsia="宋体" w:cs="宋体"/>
          <w:color w:val="auto"/>
          <w:sz w:val="21"/>
          <w:szCs w:val="21"/>
          <w:highlight w:val="none"/>
          <w:u w:val="none"/>
          <w:lang w:val="en-US"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eastAsia="zh-CN"/>
        </w:rPr>
        <w:t>本次采购品牌销售业绩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25666_WPSOffice_Level2"/>
      <w:bookmarkStart w:id="27" w:name="_Toc4109_WPSOffice_Level2"/>
      <w:bookmarkStart w:id="28" w:name="_Toc29452_WPSOffice_Level2"/>
      <w:bookmarkStart w:id="29" w:name="_Toc4751"/>
      <w:bookmarkStart w:id="30" w:name="_Toc1994"/>
      <w:bookmarkStart w:id="31" w:name="_Toc525632588"/>
      <w:bookmarkStart w:id="32" w:name="_Toc2996_WPSOffice_Level2"/>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7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10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rPr>
        <w:t>递交的截止时间前将响应文件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22719"/>
      <w:bookmarkStart w:id="36" w:name="_Toc525632591"/>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321_WPSOffice_Level2"/>
      <w:bookmarkStart w:id="38" w:name="_Toc20572_WPSOffice_Level2"/>
      <w:bookmarkStart w:id="39" w:name="_Toc14943_WPSOffice_Level2"/>
      <w:bookmarkStart w:id="40" w:name="_Toc8501"/>
      <w:bookmarkStart w:id="41" w:name="_Toc26829"/>
      <w:bookmarkStart w:id="42" w:name="_Toc525632592"/>
      <w:bookmarkStart w:id="43" w:name="_Toc28571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2"/>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7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3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0000FF"/>
          <w:highlight w:val="none"/>
        </w:rPr>
      </w:pPr>
      <w:r>
        <w:rPr>
          <w:rFonts w:hint="default" w:ascii="Times New Roman" w:hAnsi="Times New Roman" w:cs="Times New Roman"/>
          <w:color w:val="0000FF"/>
          <w:highlight w:val="none"/>
        </w:rPr>
        <w:t>3.2.1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供应商应提供增值税发票13%</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26656972"/>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9067726"/>
      <w:bookmarkStart w:id="52" w:name="_Toc14201245"/>
      <w:bookmarkStart w:id="53" w:name="_Toc2665697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53"/>
      <w:bookmarkStart w:id="61"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9067727"/>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12245_WPSOffice_Level2"/>
      <w:bookmarkStart w:id="72" w:name="_Toc218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31322_WPSOffice_Level2"/>
      <w:bookmarkStart w:id="76" w:name="_Toc8414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2932_WPSOffice_Level2"/>
      <w:bookmarkStart w:id="78" w:name="_Toc15620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3031_WPSOffice_Level2"/>
      <w:bookmarkStart w:id="88" w:name="_Toc23800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cs="宋体"/>
                <w:color w:val="0000FF"/>
                <w:sz w:val="21"/>
                <w:szCs w:val="21"/>
                <w:lang w:val="en-US" w:eastAsia="zh-CN"/>
              </w:rPr>
              <w:t xml:space="preserve">不含税价：元，  增值税额：元 </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肆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pStyle w:val="2"/>
        <w:rPr>
          <w:rFonts w:hint="default"/>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pStyle w:val="2"/>
        <w:rPr>
          <w:rFonts w:hint="default"/>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W w:w="77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91"/>
        <w:gridCol w:w="4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发动机制造商和型号</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2.0L/涡轮增压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车辆最大扭矩</w:t>
            </w:r>
            <w:r>
              <w:rPr>
                <w:rFonts w:hint="eastAsia" w:ascii="宋体" w:hAnsi="宋体" w:eastAsia="宋体" w:cs="宋体"/>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最大马力</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r>
              <w:rPr>
                <w:rFonts w:hint="eastAsia" w:ascii="宋体" w:hAnsi="宋体" w:eastAsia="宋体" w:cs="宋体"/>
                <w:i w:val="0"/>
                <w:iCs w:val="0"/>
                <w:color w:val="000000"/>
                <w:kern w:val="0"/>
                <w:sz w:val="24"/>
                <w:szCs w:val="24"/>
                <w:u w:val="none"/>
                <w:bdr w:val="none" w:color="auto" w:sz="0" w:space="0"/>
                <w:lang w:val="en-US" w:eastAsia="zh-CN" w:bidi="ar"/>
              </w:rPr>
              <w:t>Nm/ 237Ps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功率</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燃料种类</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汽油+48V轻混系统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整车油耗</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排放依据标准</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w:t>
            </w:r>
            <w:r>
              <w:rPr>
                <w:rFonts w:hint="eastAsia" w:ascii="宋体" w:hAnsi="宋体" w:eastAsia="宋体" w:cs="宋体"/>
                <w:i w:val="0"/>
                <w:iCs w:val="0"/>
                <w:color w:val="000000"/>
                <w:kern w:val="0"/>
                <w:sz w:val="24"/>
                <w:szCs w:val="24"/>
                <w:u w:val="none"/>
                <w:bdr w:val="none" w:color="auto" w:sz="0" w:space="0"/>
                <w:lang w:val="en-US" w:eastAsia="zh-CN" w:bidi="ar"/>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转向形式</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电动助力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变速箱</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9挡手自一体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发动机启停</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驱动方式</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轴距</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w:t>
            </w:r>
            <w:r>
              <w:rPr>
                <w:rFonts w:hint="eastAsia" w:ascii="宋体" w:hAnsi="宋体" w:eastAsia="宋体" w:cs="宋体"/>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副驾驶座安全气囊：</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主有 </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副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侧气囊：</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前 有 </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后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上坡辅助</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胎压监测</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自动驻车</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LED大灯</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中控大屏10寸</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CarLife</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泊车雷达：</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前 无 </w:t>
            </w: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t>后 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无钥匙启动系统</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jc w:val="center"/>
        </w:trPr>
        <w:tc>
          <w:tcPr>
            <w:tcW w:w="33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LED大灯</w:t>
            </w:r>
          </w:p>
        </w:tc>
        <w:tc>
          <w:tcPr>
            <w:tcW w:w="43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w:t>
            </w:r>
          </w:p>
        </w:tc>
      </w:tr>
    </w:tbl>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r>
        <w:rPr>
          <w:rFonts w:hint="eastAsia" w:ascii="宋体" w:hAnsi="宋体" w:cs="仿宋_GB2312"/>
          <w:sz w:val="30"/>
          <w:szCs w:val="30"/>
          <w:lang w:val="en-US" w:eastAsia="zh-CN"/>
        </w:rPr>
        <w:t>（2）</w:t>
      </w:r>
    </w:p>
    <w:p>
      <w:pPr>
        <w:numPr>
          <w:ilvl w:val="0"/>
          <w:numId w:val="0"/>
        </w:numPr>
        <w:tabs>
          <w:tab w:val="left" w:pos="600"/>
        </w:tabs>
        <w:ind w:firstLine="241" w:firstLineChars="100"/>
        <w:rPr>
          <w:rFonts w:hint="eastAsia" w:ascii="宋体" w:hAnsi="宋体" w:eastAsia="宋体" w:cs="宋体"/>
          <w:b/>
          <w:bCs w:val="0"/>
          <w:sz w:val="24"/>
          <w:szCs w:val="24"/>
        </w:rPr>
      </w:pPr>
      <w:r>
        <w:rPr>
          <w:rFonts w:hint="eastAsia" w:ascii="宋体" w:hAnsi="宋体" w:eastAsia="宋体" w:cs="宋体"/>
          <w:b/>
          <w:bCs w:val="0"/>
          <w:sz w:val="24"/>
          <w:szCs w:val="24"/>
        </w:rPr>
        <w:t>车辆配置：</w:t>
      </w:r>
    </w:p>
    <w:p>
      <w:pPr>
        <w:numPr>
          <w:ilvl w:val="0"/>
          <w:numId w:val="0"/>
        </w:numPr>
        <w:tabs>
          <w:tab w:val="left" w:pos="600"/>
        </w:tabs>
        <w:ind w:firstLine="240" w:firstLineChars="100"/>
        <w:rPr>
          <w:rFonts w:hint="eastAsia" w:ascii="宋体" w:hAnsi="宋体" w:eastAsia="宋体" w:cs="宋体"/>
          <w:b w:val="0"/>
          <w:bCs/>
          <w:sz w:val="24"/>
          <w:szCs w:val="24"/>
          <w:lang w:eastAsia="zh-CN"/>
        </w:rPr>
      </w:pPr>
      <w:r>
        <w:rPr>
          <w:rFonts w:hint="eastAsia" w:ascii="宋体" w:hAnsi="宋体" w:eastAsia="宋体" w:cs="宋体"/>
          <w:b w:val="0"/>
          <w:bCs/>
          <w:sz w:val="24"/>
          <w:szCs w:val="24"/>
        </w:rPr>
        <w:t>车型</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ab/>
      </w:r>
      <w:r>
        <w:rPr>
          <w:rFonts w:hint="eastAsia" w:ascii="宋体" w:hAnsi="宋体" w:eastAsia="宋体" w:cs="宋体"/>
          <w:b w:val="0"/>
          <w:bCs/>
          <w:sz w:val="24"/>
          <w:szCs w:val="24"/>
        </w:rPr>
        <w:t>福特新</w:t>
      </w:r>
      <w:r>
        <w:rPr>
          <w:rFonts w:hint="eastAsia" w:ascii="宋体" w:hAnsi="宋体" w:eastAsia="宋体" w:cs="宋体"/>
          <w:b w:val="0"/>
          <w:bCs/>
          <w:sz w:val="24"/>
          <w:szCs w:val="24"/>
          <w:lang w:eastAsia="zh-CN"/>
        </w:rPr>
        <w:t>世</w:t>
      </w:r>
      <w:r>
        <w:rPr>
          <w:rFonts w:hint="eastAsia" w:ascii="宋体" w:hAnsi="宋体" w:eastAsia="宋体" w:cs="宋体"/>
          <w:b w:val="0"/>
          <w:bCs/>
          <w:sz w:val="24"/>
          <w:szCs w:val="24"/>
        </w:rPr>
        <w:t>代全顺15座</w:t>
      </w:r>
      <w:r>
        <w:rPr>
          <w:rFonts w:hint="eastAsia" w:ascii="宋体" w:hAnsi="宋体" w:eastAsia="宋体" w:cs="宋体"/>
          <w:b w:val="0"/>
          <w:bCs/>
          <w:sz w:val="24"/>
          <w:szCs w:val="24"/>
          <w:lang w:eastAsia="zh-CN"/>
        </w:rPr>
        <w:t>商务</w:t>
      </w:r>
      <w:r>
        <w:rPr>
          <w:rFonts w:hint="eastAsia" w:ascii="宋体" w:hAnsi="宋体" w:eastAsia="宋体" w:cs="宋体"/>
          <w:b w:val="0"/>
          <w:bCs/>
          <w:sz w:val="24"/>
          <w:szCs w:val="24"/>
        </w:rPr>
        <w:t>客车</w:t>
      </w:r>
      <w:r>
        <w:rPr>
          <w:rFonts w:hint="eastAsia" w:ascii="宋体" w:hAnsi="宋体" w:eastAsia="宋体" w:cs="宋体"/>
          <w:b w:val="0"/>
          <w:bCs/>
          <w:sz w:val="24"/>
          <w:szCs w:val="24"/>
          <w:lang w:eastAsia="zh-CN"/>
        </w:rPr>
        <w:t>（白色）</w:t>
      </w:r>
    </w:p>
    <w:p>
      <w:pPr>
        <w:numPr>
          <w:ilvl w:val="0"/>
          <w:numId w:val="0"/>
        </w:numPr>
        <w:tabs>
          <w:tab w:val="left" w:pos="600"/>
        </w:tabs>
        <w:rPr>
          <w:rFonts w:hint="eastAsia" w:ascii="宋体" w:hAnsi="宋体" w:eastAsia="宋体" w:cs="宋体"/>
          <w:b w:val="0"/>
          <w:bCs/>
          <w:sz w:val="24"/>
          <w:szCs w:val="24"/>
        </w:rPr>
      </w:pPr>
      <w:r>
        <w:rPr>
          <w:rFonts w:hint="eastAsia" w:ascii="宋体" w:hAnsi="宋体" w:eastAsia="宋体" w:cs="宋体"/>
          <w:sz w:val="24"/>
          <w:szCs w:val="24"/>
          <w:lang w:eastAsia="zh-CN"/>
        </w:rPr>
        <w:t>★</w:t>
      </w:r>
      <w:r>
        <w:rPr>
          <w:rFonts w:hint="eastAsia" w:ascii="宋体" w:hAnsi="宋体" w:eastAsia="宋体" w:cs="宋体"/>
          <w:b w:val="0"/>
          <w:bCs/>
          <w:sz w:val="24"/>
          <w:szCs w:val="24"/>
        </w:rPr>
        <w:t>发动机型号</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福特Duratorq TDCi高压共轨柴油发动机</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形式</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直列四缸高压共轨增压中冷柴油</w:t>
      </w:r>
    </w:p>
    <w:p>
      <w:pPr>
        <w:numPr>
          <w:ilvl w:val="0"/>
          <w:numId w:val="0"/>
        </w:numPr>
        <w:tabs>
          <w:tab w:val="left" w:pos="600"/>
        </w:tabs>
        <w:rPr>
          <w:rFonts w:hint="eastAsia" w:ascii="宋体" w:hAnsi="宋体" w:eastAsia="宋体" w:cs="宋体"/>
          <w:b w:val="0"/>
          <w:bCs/>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b w:val="0"/>
          <w:bCs/>
          <w:sz w:val="24"/>
          <w:szCs w:val="24"/>
        </w:rPr>
        <w:t>排量(ml)</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ab/>
      </w:r>
      <w:r>
        <w:rPr>
          <w:rFonts w:hint="eastAsia" w:ascii="宋体" w:hAnsi="宋体" w:eastAsia="宋体" w:cs="宋体"/>
          <w:b w:val="0"/>
          <w:bCs/>
          <w:sz w:val="24"/>
          <w:szCs w:val="24"/>
          <w:lang w:val="en-US" w:eastAsia="zh-CN"/>
        </w:rPr>
        <w:t>2.2</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燃料供应方式</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电控高压共轨</w:t>
      </w:r>
    </w:p>
    <w:p>
      <w:pPr>
        <w:numPr>
          <w:ilvl w:val="0"/>
          <w:numId w:val="0"/>
        </w:numPr>
        <w:tabs>
          <w:tab w:val="left" w:pos="600"/>
        </w:tabs>
        <w:rPr>
          <w:rFonts w:hint="eastAsia" w:ascii="宋体" w:hAnsi="宋体" w:eastAsia="宋体" w:cs="宋体"/>
          <w:b w:val="0"/>
          <w:bCs/>
          <w:sz w:val="24"/>
          <w:szCs w:val="24"/>
        </w:rPr>
      </w:pPr>
      <w:r>
        <w:rPr>
          <w:rFonts w:hint="eastAsia" w:ascii="宋体" w:hAnsi="宋体" w:eastAsia="宋体" w:cs="宋体"/>
          <w:sz w:val="24"/>
          <w:szCs w:val="24"/>
          <w:lang w:eastAsia="zh-CN"/>
        </w:rPr>
        <w:t>★</w:t>
      </w:r>
      <w:r>
        <w:rPr>
          <w:rFonts w:hint="eastAsia" w:ascii="宋体" w:hAnsi="宋体" w:eastAsia="宋体" w:cs="宋体"/>
          <w:b w:val="0"/>
          <w:bCs/>
          <w:sz w:val="24"/>
          <w:szCs w:val="24"/>
        </w:rPr>
        <w:t>最大功率(Ps/rpm)</w:t>
      </w:r>
      <w:r>
        <w:rPr>
          <w:rFonts w:hint="eastAsia" w:ascii="宋体" w:hAnsi="宋体" w:eastAsia="宋体" w:cs="宋体"/>
          <w:b w:val="0"/>
          <w:bCs/>
          <w:sz w:val="24"/>
          <w:szCs w:val="24"/>
        </w:rPr>
        <w:tab/>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140</w:t>
      </w:r>
      <w:r>
        <w:rPr>
          <w:rFonts w:hint="eastAsia" w:ascii="宋体" w:hAnsi="宋体" w:eastAsia="宋体" w:cs="宋体"/>
          <w:b/>
          <w:bCs w:val="0"/>
          <w:sz w:val="24"/>
          <w:szCs w:val="24"/>
        </w:rPr>
        <w:t>/</w:t>
      </w:r>
      <w:r>
        <w:rPr>
          <w:rFonts w:hint="eastAsia" w:ascii="宋体" w:hAnsi="宋体" w:eastAsia="宋体" w:cs="宋体"/>
          <w:b w:val="0"/>
          <w:bCs/>
          <w:sz w:val="24"/>
          <w:szCs w:val="24"/>
        </w:rPr>
        <w:t>3750</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最大扭矩(N·M/rpm)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355/1500-2000</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排放标准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国Ⅵ</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变速器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6MT</w:t>
      </w:r>
      <w:r>
        <w:rPr>
          <w:rFonts w:hint="eastAsia" w:ascii="宋体" w:hAnsi="宋体" w:eastAsia="宋体" w:cs="宋体"/>
          <w:b w:val="0"/>
          <w:bCs/>
          <w:sz w:val="24"/>
          <w:szCs w:val="24"/>
        </w:rPr>
        <w:tab/>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最高安全车速(km/h)</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ab/>
      </w:r>
      <w:r>
        <w:rPr>
          <w:rFonts w:hint="eastAsia" w:ascii="宋体" w:hAnsi="宋体" w:eastAsia="宋体" w:cs="宋体"/>
          <w:b w:val="0"/>
          <w:bCs/>
          <w:sz w:val="24"/>
          <w:szCs w:val="24"/>
        </w:rPr>
        <w:t>145</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制动系统</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前通风盘式，后实心盘式</w:t>
      </w:r>
    </w:p>
    <w:p>
      <w:pPr>
        <w:numPr>
          <w:ilvl w:val="0"/>
          <w:numId w:val="0"/>
        </w:numPr>
        <w:tabs>
          <w:tab w:val="left" w:pos="600"/>
        </w:tabs>
        <w:rPr>
          <w:rFonts w:hint="eastAsia" w:ascii="宋体" w:hAnsi="宋体" w:eastAsia="宋体" w:cs="宋体"/>
          <w:b w:val="0"/>
          <w:bCs/>
          <w:sz w:val="24"/>
          <w:szCs w:val="24"/>
        </w:rPr>
      </w:pPr>
      <w:r>
        <w:rPr>
          <w:rFonts w:hint="eastAsia" w:ascii="宋体" w:hAnsi="宋体" w:eastAsia="宋体" w:cs="宋体"/>
          <w:sz w:val="24"/>
          <w:szCs w:val="24"/>
          <w:lang w:eastAsia="zh-CN"/>
        </w:rPr>
        <w:t>★</w:t>
      </w:r>
      <w:r>
        <w:rPr>
          <w:rFonts w:hint="eastAsia" w:ascii="宋体" w:hAnsi="宋体" w:eastAsia="宋体" w:cs="宋体"/>
          <w:b w:val="0"/>
          <w:bCs/>
          <w:sz w:val="24"/>
          <w:szCs w:val="24"/>
        </w:rPr>
        <w:t>悬挂系统</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麦弗逊式独立前悬，霍奇基斯后悬</w:t>
      </w:r>
    </w:p>
    <w:p>
      <w:pPr>
        <w:numPr>
          <w:ilvl w:val="0"/>
          <w:numId w:val="0"/>
        </w:numPr>
        <w:tabs>
          <w:tab w:val="left" w:pos="600"/>
        </w:tabs>
        <w:rPr>
          <w:rFonts w:hint="eastAsia" w:ascii="宋体" w:hAnsi="宋体" w:eastAsia="宋体" w:cs="宋体"/>
          <w:b/>
          <w:bCs w:val="0"/>
          <w:sz w:val="24"/>
          <w:szCs w:val="24"/>
          <w:lang w:eastAsia="zh-CN"/>
        </w:rPr>
      </w:pPr>
      <w:r>
        <w:rPr>
          <w:rFonts w:hint="eastAsia" w:ascii="宋体" w:hAnsi="宋体" w:eastAsia="宋体" w:cs="宋体"/>
          <w:b/>
          <w:bCs w:val="0"/>
          <w:sz w:val="24"/>
          <w:szCs w:val="24"/>
        </w:rPr>
        <w:t>车身参数</w:t>
      </w:r>
      <w:r>
        <w:rPr>
          <w:rFonts w:hint="eastAsia" w:ascii="宋体" w:hAnsi="宋体" w:eastAsia="宋体" w:cs="宋体"/>
          <w:b/>
          <w:bCs w:val="0"/>
          <w:sz w:val="24"/>
          <w:szCs w:val="24"/>
          <w:lang w:eastAsia="zh-CN"/>
        </w:rPr>
        <w:t>：</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外部尺寸（长*宽*高mm）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 5820</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1974</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2360</w:t>
      </w:r>
      <w:r>
        <w:rPr>
          <w:rFonts w:hint="eastAsia" w:ascii="宋体" w:hAnsi="宋体" w:eastAsia="宋体" w:cs="宋体"/>
          <w:b w:val="0"/>
          <w:bCs/>
          <w:sz w:val="24"/>
          <w:szCs w:val="24"/>
        </w:rPr>
        <w:tab/>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轴距(mm)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3750</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整备质量(kg)</w:t>
      </w:r>
      <w:r>
        <w:rPr>
          <w:rFonts w:hint="eastAsia" w:ascii="宋体" w:hAnsi="宋体" w:eastAsia="宋体" w:cs="宋体"/>
          <w:b w:val="0"/>
          <w:bCs/>
          <w:sz w:val="24"/>
          <w:szCs w:val="24"/>
        </w:rPr>
        <w:tab/>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2530</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总质量(kg)</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3700</w:t>
      </w:r>
    </w:p>
    <w:p>
      <w:pPr>
        <w:numPr>
          <w:ilvl w:val="0"/>
          <w:numId w:val="0"/>
        </w:numPr>
        <w:tabs>
          <w:tab w:val="left" w:pos="600"/>
        </w:tabs>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燃油箱容积(L)</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80</w:t>
      </w:r>
    </w:p>
    <w:p>
      <w:pPr>
        <w:numPr>
          <w:ilvl w:val="0"/>
          <w:numId w:val="0"/>
        </w:numPr>
        <w:tabs>
          <w:tab w:val="left" w:pos="600"/>
        </w:tabs>
        <w:rPr>
          <w:rFonts w:hint="eastAsia" w:ascii="宋体" w:hAnsi="宋体" w:eastAsia="宋体" w:cs="宋体"/>
          <w:b w:val="0"/>
          <w:bCs/>
          <w:sz w:val="24"/>
          <w:szCs w:val="24"/>
        </w:rPr>
      </w:pP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外观配置：</w:t>
      </w:r>
      <w:r>
        <w:rPr>
          <w:rFonts w:hint="eastAsia" w:ascii="宋体" w:hAnsi="宋体" w:eastAsia="宋体" w:cs="宋体"/>
          <w:b w:val="0"/>
          <w:bCs/>
          <w:sz w:val="24"/>
          <w:szCs w:val="24"/>
        </w:rPr>
        <w:t>LED日间行车灯</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车身同色保险杠</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一体式侧车窗</w:t>
      </w:r>
    </w:p>
    <w:p>
      <w:pPr>
        <w:numPr>
          <w:ilvl w:val="0"/>
          <w:numId w:val="0"/>
        </w:numPr>
        <w:tabs>
          <w:tab w:val="left" w:pos="600"/>
        </w:tabs>
        <w:rPr>
          <w:rFonts w:hint="eastAsia" w:ascii="宋体" w:hAnsi="宋体" w:eastAsia="宋体" w:cs="宋体"/>
          <w:b w:val="0"/>
          <w:bCs/>
          <w:sz w:val="24"/>
          <w:szCs w:val="24"/>
        </w:rPr>
      </w:pP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安全配置：</w:t>
      </w:r>
      <w:r>
        <w:rPr>
          <w:rFonts w:hint="eastAsia" w:ascii="宋体" w:hAnsi="宋体" w:eastAsia="宋体" w:cs="宋体"/>
          <w:b w:val="0"/>
          <w:bCs/>
          <w:sz w:val="24"/>
          <w:szCs w:val="24"/>
        </w:rPr>
        <w:t>ESP+HHC</w:t>
      </w:r>
      <w:r>
        <w:rPr>
          <w:rFonts w:hint="eastAsia" w:ascii="宋体" w:hAnsi="宋体" w:eastAsia="宋体" w:cs="宋体"/>
          <w:b w:val="0"/>
          <w:bCs/>
          <w:sz w:val="24"/>
          <w:szCs w:val="24"/>
        </w:rPr>
        <w:tab/>
      </w:r>
    </w:p>
    <w:p>
      <w:pPr>
        <w:numPr>
          <w:ilvl w:val="0"/>
          <w:numId w:val="0"/>
        </w:numPr>
        <w:tabs>
          <w:tab w:val="left" w:pos="600"/>
        </w:tabs>
        <w:ind w:left="210" w:hanging="240" w:hangingChars="100"/>
        <w:rPr>
          <w:rFonts w:hint="eastAsia" w:ascii="宋体" w:hAnsi="宋体" w:eastAsia="宋体" w:cs="宋体"/>
          <w:b w:val="0"/>
          <w:bCs/>
          <w:sz w:val="24"/>
          <w:szCs w:val="24"/>
        </w:rPr>
      </w:pPr>
      <w:r>
        <w:rPr>
          <w:rFonts w:hint="eastAsia" w:ascii="宋体" w:hAnsi="宋体" w:eastAsia="宋体" w:cs="宋体"/>
          <w:sz w:val="24"/>
          <w:szCs w:val="24"/>
          <w:lang w:eastAsia="zh-CN"/>
        </w:rPr>
        <w:t>★</w:t>
      </w:r>
      <w:r>
        <w:rPr>
          <w:rFonts w:hint="eastAsia" w:ascii="宋体" w:hAnsi="宋体" w:eastAsia="宋体" w:cs="宋体"/>
          <w:b w:val="0"/>
          <w:bCs/>
          <w:sz w:val="24"/>
          <w:szCs w:val="24"/>
          <w:lang w:eastAsia="zh-CN"/>
        </w:rPr>
        <w:t>其他配置：</w:t>
      </w:r>
      <w:r>
        <w:rPr>
          <w:rFonts w:hint="eastAsia" w:ascii="宋体" w:hAnsi="宋体" w:eastAsia="宋体" w:cs="宋体"/>
          <w:b w:val="0"/>
          <w:bCs/>
          <w:sz w:val="24"/>
          <w:szCs w:val="24"/>
        </w:rPr>
        <w:t>定速巡航</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自动大灯</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自动雨刮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电池管理系统</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PATS电子防盗系统</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胎压监测系统</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3.5寸液晶仪表+10.1寸中控显示屏</w:t>
      </w:r>
      <w:r>
        <w:rPr>
          <w:rFonts w:hint="eastAsia" w:ascii="宋体" w:hAnsi="宋体" w:eastAsia="宋体" w:cs="宋体"/>
          <w:b w:val="0"/>
          <w:bCs/>
          <w:sz w:val="24"/>
          <w:szCs w:val="24"/>
        </w:rPr>
        <w:tab/>
      </w:r>
    </w:p>
    <w:p>
      <w:pPr>
        <w:spacing w:line="480" w:lineRule="auto"/>
        <w:ind w:firstLine="723" w:firstLineChars="300"/>
        <w:jc w:val="center"/>
        <w:rPr>
          <w:rFonts w:hint="eastAsia" w:ascii="宋体" w:hAnsi="宋体" w:eastAsia="宋体" w:cs="宋体"/>
          <w:b/>
          <w:sz w:val="24"/>
          <w:szCs w:val="24"/>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10"/>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434"/>
        <w:gridCol w:w="800"/>
        <w:gridCol w:w="761"/>
        <w:gridCol w:w="1125"/>
        <w:gridCol w:w="124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46"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包</w:t>
            </w:r>
          </w:p>
        </w:tc>
        <w:tc>
          <w:tcPr>
            <w:tcW w:w="3434"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品牌型号</w:t>
            </w:r>
          </w:p>
        </w:tc>
        <w:tc>
          <w:tcPr>
            <w:tcW w:w="800"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761"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25" w:type="dxa"/>
            <w:noWrap w:val="0"/>
            <w:vAlign w:val="center"/>
          </w:tcPr>
          <w:p>
            <w:pPr>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单价</w:t>
            </w:r>
            <w:r>
              <w:rPr>
                <w:rFonts w:hint="eastAsia" w:asciiTheme="minorEastAsia" w:hAnsiTheme="minorEastAsia" w:eastAsiaTheme="minorEastAsia" w:cstheme="minorEastAsia"/>
                <w:sz w:val="24"/>
                <w:szCs w:val="24"/>
                <w:lang w:eastAsia="zh-CN"/>
              </w:rPr>
              <w:t>（元）</w:t>
            </w: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93" w:name="_Toc9834_WPSOffice_Level1"/>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43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别克GL8 2023款陆上公务舱652T 舒适型</w:t>
            </w:r>
          </w:p>
        </w:tc>
        <w:tc>
          <w:tcPr>
            <w:tcW w:w="800"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台</w:t>
            </w:r>
          </w:p>
        </w:tc>
        <w:tc>
          <w:tcPr>
            <w:tcW w:w="761" w:type="dxa"/>
            <w:noWrap w:val="0"/>
            <w:vAlign w:val="center"/>
          </w:tcPr>
          <w:p>
            <w:pPr>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125"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金</w:t>
            </w:r>
            <w:r>
              <w:rPr>
                <w:rFonts w:hint="eastAsia" w:asciiTheme="minorEastAsia" w:hAnsiTheme="minorEastAsia" w:eastAsiaTheme="minorEastAsia" w:cstheme="minorEastAsia"/>
                <w:kern w:val="2"/>
                <w:sz w:val="24"/>
                <w:szCs w:val="24"/>
                <w:lang w:val="en-US" w:eastAsia="zh-CN" w:bidi="ar-SA"/>
              </w:rPr>
              <w:t>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343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b w:val="0"/>
                <w:bCs/>
                <w:sz w:val="24"/>
                <w:szCs w:val="24"/>
              </w:rPr>
              <w:t>福特新</w:t>
            </w:r>
            <w:r>
              <w:rPr>
                <w:rFonts w:hint="eastAsia"/>
                <w:b w:val="0"/>
                <w:bCs/>
                <w:sz w:val="24"/>
                <w:szCs w:val="24"/>
                <w:lang w:eastAsia="zh-CN"/>
              </w:rPr>
              <w:t>世</w:t>
            </w:r>
            <w:r>
              <w:rPr>
                <w:rFonts w:hint="eastAsia"/>
                <w:b w:val="0"/>
                <w:bCs/>
                <w:sz w:val="24"/>
                <w:szCs w:val="24"/>
              </w:rPr>
              <w:t>代全顺15座</w:t>
            </w:r>
            <w:r>
              <w:rPr>
                <w:rFonts w:hint="eastAsia"/>
                <w:b w:val="0"/>
                <w:bCs/>
                <w:sz w:val="24"/>
                <w:szCs w:val="24"/>
                <w:lang w:eastAsia="zh-CN"/>
              </w:rPr>
              <w:t>商务</w:t>
            </w:r>
            <w:r>
              <w:rPr>
                <w:rFonts w:hint="eastAsia"/>
                <w:b w:val="0"/>
                <w:bCs/>
                <w:sz w:val="24"/>
                <w:szCs w:val="24"/>
              </w:rPr>
              <w:t>客车</w:t>
            </w:r>
          </w:p>
        </w:tc>
        <w:tc>
          <w:tcPr>
            <w:tcW w:w="800"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台</w:t>
            </w:r>
          </w:p>
        </w:tc>
        <w:tc>
          <w:tcPr>
            <w:tcW w:w="761" w:type="dxa"/>
            <w:noWrap w:val="0"/>
            <w:vAlign w:val="center"/>
          </w:tcPr>
          <w:p>
            <w:pPr>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125"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白色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3434"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bookmarkStart w:id="140" w:name="_GoBack"/>
            <w:bookmarkEnd w:id="140"/>
          </w:p>
        </w:tc>
        <w:tc>
          <w:tcPr>
            <w:tcW w:w="800" w:type="dxa"/>
            <w:noWrap w:val="0"/>
            <w:vAlign w:val="center"/>
          </w:tcPr>
          <w:p>
            <w:pPr>
              <w:ind w:firstLine="0" w:firstLineChars="0"/>
              <w:jc w:val="center"/>
              <w:rPr>
                <w:rFonts w:hint="eastAsia" w:asciiTheme="minorEastAsia" w:hAnsiTheme="minorEastAsia" w:eastAsiaTheme="minorEastAsia" w:cstheme="minorEastAsia"/>
                <w:sz w:val="24"/>
                <w:szCs w:val="24"/>
                <w:lang w:val="en-US" w:eastAsia="zh-CN"/>
              </w:rPr>
            </w:pPr>
          </w:p>
        </w:tc>
        <w:tc>
          <w:tcPr>
            <w:tcW w:w="761" w:type="dxa"/>
            <w:noWrap w:val="0"/>
            <w:vAlign w:val="center"/>
          </w:tcPr>
          <w:p>
            <w:pPr>
              <w:ind w:firstLine="0" w:firstLineChars="0"/>
              <w:jc w:val="center"/>
              <w:rPr>
                <w:rFonts w:hint="eastAsia" w:asciiTheme="minorEastAsia" w:hAnsiTheme="minorEastAsia" w:eastAsiaTheme="minorEastAsia" w:cstheme="minorEastAsia"/>
                <w:kern w:val="2"/>
                <w:sz w:val="24"/>
                <w:szCs w:val="24"/>
                <w:lang w:val="en-US" w:eastAsia="zh-CN" w:bidi="ar-SA"/>
              </w:rPr>
            </w:pPr>
          </w:p>
        </w:tc>
        <w:tc>
          <w:tcPr>
            <w:tcW w:w="1125"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kern w:val="2"/>
                <w:sz w:val="24"/>
                <w:szCs w:val="24"/>
                <w:lang w:val="en-US" w:eastAsia="zh-CN" w:bidi="ar-SA"/>
              </w:rPr>
            </w:pP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914_WPSOffice_Level1"/>
      <w:bookmarkStart w:id="96" w:name="_Toc5145_WPSOffice_Level1"/>
      <w:bookmarkStart w:id="97"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29399_WPSOffice_Level1"/>
      <w:bookmarkStart w:id="106" w:name="_Toc1687_WPSOffice_Level1"/>
      <w:bookmarkStart w:id="107" w:name="_Toc30031_WPSOffice_Level1"/>
      <w:bookmarkStart w:id="108" w:name="_Toc18312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pStyle w:val="2"/>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2530_WPSOffice_Level1"/>
      <w:bookmarkStart w:id="110" w:name="_Toc8695_WPSOffice_Level1"/>
      <w:bookmarkStart w:id="111" w:name="_Toc32350_WPSOffice_Level1"/>
      <w:bookmarkStart w:id="112" w:name="_Toc14563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5153_WPSOffice_Level2"/>
      <w:bookmarkStart w:id="115" w:name="_Toc2080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2"/>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67_WPSOffice_Level1"/>
      <w:bookmarkStart w:id="119" w:name="_Toc32085_WPSOffice_Level1"/>
      <w:bookmarkStart w:id="120" w:name="_Toc24530_WPSOffice_Level1"/>
      <w:bookmarkStart w:id="121" w:name="_Toc15186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31445_WPSOffice_Level1"/>
      <w:bookmarkStart w:id="125" w:name="_Toc23545_WPSOffice_Level1"/>
      <w:bookmarkStart w:id="126" w:name="_Toc10436_WPSOffice_Level1"/>
      <w:bookmarkStart w:id="127" w:name="_Toc773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8547_WPSOffice_Level1"/>
      <w:bookmarkStart w:id="131" w:name="_Toc1452_WPSOffice_Level1"/>
      <w:bookmarkStart w:id="132" w:name="_Toc5072_WPSOffice_Level1"/>
      <w:bookmarkStart w:id="133" w:name="_Toc3772_WPSOffice_Level1"/>
      <w:bookmarkStart w:id="134" w:name="_Toc19004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12019_WPSOffice_Level1"/>
      <w:bookmarkStart w:id="136" w:name="_Toc30712_WPSOffice_Level1"/>
      <w:bookmarkStart w:id="137" w:name="_Toc5403_WPSOffice_Level1"/>
      <w:bookmarkStart w:id="138" w:name="_Toc3893_WPSOffice_Level1"/>
      <w:bookmarkStart w:id="139" w:name="_Toc9267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05A08"/>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B50DFE"/>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F6219E"/>
    <w:rsid w:val="1D011989"/>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91782D"/>
    <w:rsid w:val="309D35EF"/>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1866BA"/>
    <w:rsid w:val="34375518"/>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53428A"/>
    <w:rsid w:val="617C7F2C"/>
    <w:rsid w:val="61980250"/>
    <w:rsid w:val="61AD3C17"/>
    <w:rsid w:val="61D740F7"/>
    <w:rsid w:val="6228683D"/>
    <w:rsid w:val="624C2A38"/>
    <w:rsid w:val="626F30E7"/>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10039</Words>
  <Characters>11026</Characters>
  <Lines>0</Lines>
  <Paragraphs>0</Paragraphs>
  <TotalTime>4</TotalTime>
  <ScaleCrop>false</ScaleCrop>
  <LinksUpToDate>false</LinksUpToDate>
  <CharactersWithSpaces>12568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2023-07-03T08:02:25Z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9287CD1DB6F74A3D9E0854E8BB5C20FA</vt:lpwstr>
  </property>
</Properties>
</file>