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JYYG2023001双钢轮压路机</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5</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11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525632585"/>
      <w:bookmarkStart w:id="3" w:name="_Toc12765"/>
      <w:bookmarkStart w:id="4" w:name="_Toc4489_WPSOffice_Level2"/>
      <w:bookmarkStart w:id="5" w:name="_Toc13871"/>
      <w:bookmarkStart w:id="6" w:name="_Toc10395_WPSOffice_Level2"/>
      <w:bookmarkStart w:id="7" w:name="_Toc6496_WPSOffice_Level2"/>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JYYG2023001</w:t>
      </w:r>
      <w:r>
        <w:rPr>
          <w:rFonts w:hint="eastAsia" w:ascii="宋体" w:hAnsi="宋体" w:eastAsia="宋体" w:cs="宋体"/>
          <w:szCs w:val="21"/>
          <w:u w:val="single"/>
          <w:lang w:eastAsia="zh-CN"/>
        </w:rPr>
        <w:t>双钢轮压路机</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Times New Roman" w:hAnsi="Times New Roman" w:cs="Times New Roman"/>
          <w:szCs w:val="22"/>
          <w:u w:val="single"/>
          <w:lang w:eastAsia="zh-CN"/>
        </w:rPr>
        <w:t>双钢轮压路机</w:t>
      </w:r>
      <w:r>
        <w:rPr>
          <w:rFonts w:hint="eastAsia" w:ascii="Times New Roman" w:hAnsi="Times New Roman" w:cs="Times New Roman"/>
          <w:szCs w:val="22"/>
          <w:u w:val="single"/>
          <w:lang w:val="en-US" w:eastAsia="zh-CN"/>
        </w:rPr>
        <w:t>2</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8367_WPSOffice_Level2"/>
      <w:bookmarkStart w:id="10" w:name="_Toc18453"/>
      <w:bookmarkStart w:id="11" w:name="_Toc17858_WPSOffice_Level2"/>
      <w:bookmarkStart w:id="12" w:name="_Toc525632586"/>
      <w:bookmarkStart w:id="13" w:name="_Toc23266_WPSOffice_Level2"/>
      <w:bookmarkStart w:id="14" w:name="_Toc10274"/>
      <w:bookmarkStart w:id="15" w:name="_Toc812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lang w:val="en-US"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Times New Roman" w:hAnsi="Times New Roman" w:cs="Times New Roman"/>
          <w:szCs w:val="22"/>
          <w:u w:val="single"/>
          <w:lang w:eastAsia="zh-CN"/>
        </w:rPr>
        <w:t>双钢轮压路机</w:t>
      </w:r>
      <w:r>
        <w:rPr>
          <w:rFonts w:hint="eastAsia" w:ascii="Times New Roman" w:hAnsi="Times New Roman" w:cs="Times New Roman"/>
          <w:szCs w:val="22"/>
          <w:u w:val="single"/>
          <w:lang w:val="en-US" w:eastAsia="zh-CN"/>
        </w:rPr>
        <w:t>2</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136</w:t>
      </w:r>
      <w:r>
        <w:rPr>
          <w:rFonts w:hint="eastAsia" w:ascii="Times New Roman" w:hAnsi="Times New Roman" w:cs="Times New Roman"/>
          <w:szCs w:val="22"/>
          <w:u w:val="single"/>
        </w:rPr>
        <w:t>万元</w:t>
      </w:r>
    </w:p>
    <w:p>
      <w:pPr>
        <w:snapToGrid w:val="0"/>
        <w:spacing w:line="500" w:lineRule="atLeast"/>
        <w:ind w:firstLine="420" w:firstLineChars="200"/>
        <w:rPr>
          <w:rFonts w:hint="eastAsia" w:ascii="Times New Roman" w:hAnsi="Times New Roman" w:cs="Times New Roman"/>
          <w:szCs w:val="22"/>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rPr>
        <w:t>合同签订之日起</w:t>
      </w:r>
      <w:r>
        <w:rPr>
          <w:rFonts w:hint="eastAsia" w:ascii="Times New Roman" w:hAnsi="Times New Roman" w:cs="Times New Roman"/>
          <w:szCs w:val="22"/>
          <w:lang w:val="en-US" w:eastAsia="zh-CN"/>
        </w:rPr>
        <w:t>30</w:t>
      </w:r>
      <w:r>
        <w:rPr>
          <w:rFonts w:hint="eastAsia" w:ascii="Times New Roman" w:hAnsi="Times New Roman" w:cs="Times New Roman"/>
          <w:szCs w:val="22"/>
        </w:rPr>
        <w:t>个</w:t>
      </w:r>
      <w:r>
        <w:rPr>
          <w:rFonts w:hint="eastAsia" w:ascii="Times New Roman" w:hAnsi="Times New Roman" w:cs="Times New Roman"/>
          <w:szCs w:val="22"/>
          <w:lang w:eastAsia="zh-CN"/>
        </w:rPr>
        <w:t>日历</w:t>
      </w:r>
      <w:r>
        <w:rPr>
          <w:rFonts w:hint="eastAsia" w:ascii="Times New Roman" w:hAnsi="Times New Roman" w:cs="Times New Roman"/>
          <w:szCs w:val="22"/>
        </w:rPr>
        <w:t>日</w:t>
      </w:r>
      <w:bookmarkStart w:id="19" w:name="_Toc3714"/>
      <w:bookmarkStart w:id="20" w:name="_Toc525632587"/>
      <w:bookmarkStart w:id="21" w:name="_Toc6388"/>
      <w:bookmarkStart w:id="22" w:name="_Toc22379_WPSOffice_Level2"/>
      <w:bookmarkStart w:id="23" w:name="_Toc29516_WPSOffice_Level2"/>
      <w:bookmarkStart w:id="24" w:name="_Toc1622_WPSOffice_Level2"/>
      <w:bookmarkStart w:id="25" w:name="_Toc31673_WPSOffice_Level2"/>
    </w:p>
    <w:p>
      <w:pPr>
        <w:snapToGrid w:val="0"/>
        <w:spacing w:line="500" w:lineRule="atLeast"/>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2.7 需留差价，不可顶格报价</w:t>
      </w:r>
    </w:p>
    <w:p>
      <w:pPr>
        <w:pStyle w:val="2"/>
        <w:rPr>
          <w:rFonts w:hint="default" w:eastAsiaTheme="minorEastAsia"/>
          <w:lang w:val="en-US" w:eastAsia="zh-CN"/>
        </w:rPr>
      </w:pP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w:t>
      </w:r>
      <w:r>
        <w:rPr>
          <w:rFonts w:hint="eastAsia" w:ascii="Times New Roman" w:hAnsi="Times New Roman" w:cs="Times New Roman"/>
          <w:szCs w:val="22"/>
          <w:highlight w:val="green"/>
          <w:lang w:eastAsia="zh-CN"/>
        </w:rPr>
        <w:t>产品</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109_WPSOffice_Level2"/>
      <w:bookmarkStart w:id="27" w:name="_Toc1994"/>
      <w:bookmarkStart w:id="28" w:name="_Toc4751"/>
      <w:bookmarkStart w:id="29" w:name="_Toc2996_WPSOffice_Level2"/>
      <w:bookmarkStart w:id="30" w:name="_Toc525632588"/>
      <w:bookmarkStart w:id="31" w:name="_Toc29452_WPSOffice_Level2"/>
      <w:bookmarkStart w:id="32" w:name="_Toc2566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18 </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9</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hint="default" w:ascii="Times New Roman" w:hAnsi="Times New Roman" w:eastAsiaTheme="minorEastAsia"/>
          <w:lang w:val="en-US" w:eastAsia="zh-C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5</w:t>
      </w:r>
      <w:r>
        <w:rPr>
          <w:rFonts w:hint="eastAsia" w:ascii="Times New Roman" w:hAnsi="Times New Roman"/>
        </w:rPr>
        <w:t xml:space="preserve">月 </w:t>
      </w:r>
      <w:r>
        <w:rPr>
          <w:rFonts w:hint="eastAsia" w:ascii="Times New Roman" w:hAnsi="Times New Roman"/>
          <w:lang w:val="en-US" w:eastAsia="zh-CN"/>
        </w:rPr>
        <w:t>17</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0572_WPSOffice_Level2"/>
      <w:bookmarkStart w:id="38" w:name="_Toc8501"/>
      <w:bookmarkStart w:id="39" w:name="_Toc525632592"/>
      <w:bookmarkStart w:id="40" w:name="_Toc26829"/>
      <w:bookmarkStart w:id="41" w:name="_Toc14943_WPSOffice_Level2"/>
      <w:bookmarkStart w:id="42" w:name="_Toc28571_WPSOffice_Level2"/>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3</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5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11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w:t>
      </w:r>
      <w:r>
        <w:rPr>
          <w:rFonts w:hint="eastAsia" w:ascii="宋体" w:hAnsi="宋体" w:eastAsia="宋体" w:cs="宋体"/>
          <w:szCs w:val="21"/>
          <w:lang w:eastAsia="zh-CN"/>
        </w:rPr>
        <w:t>、</w:t>
      </w:r>
      <w:r>
        <w:rPr>
          <w:rFonts w:hint="eastAsia" w:ascii="宋体" w:hAnsi="宋体" w:eastAsia="宋体" w:cs="宋体"/>
          <w:szCs w:val="21"/>
        </w:rPr>
        <w:t>供货、包装运输（包括运输至指定地点）、安装、调试、验收、取证、培训、技术服务、损耗费、附属材料费、售后服务、税金、质保期维护维修服务。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26656994"/>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12</w:t>
            </w:r>
            <w:r>
              <w:rPr>
                <w:rFonts w:hint="eastAsia"/>
              </w:rPr>
              <w:t>分；在此基础上：</w:t>
            </w:r>
          </w:p>
          <w:p>
            <w:pPr>
              <w:pStyle w:val="2"/>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12</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w:t>
            </w:r>
            <w:r>
              <w:rPr>
                <w:rFonts w:hint="eastAsia"/>
                <w:lang w:val="en-US" w:eastAsia="zh-CN"/>
              </w:rPr>
              <w:t>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bookmarkStart w:id="167" w:name="_GoBack"/>
            <w:bookmarkEnd w:id="167"/>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利润、税费、运输费、验收、取证、培训、技术服务、损耗费、检测费、验收费、安装调试费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w:t>
      </w:r>
      <w:r>
        <w:rPr>
          <w:rFonts w:hint="eastAsia" w:asciiTheme="minorEastAsia" w:hAnsiTheme="minorEastAsia" w:cstheme="minorEastAsia"/>
          <w:color w:val="333333"/>
          <w:kern w:val="0"/>
          <w:szCs w:val="21"/>
          <w:lang w:eastAsia="zh-CN"/>
        </w:rPr>
        <w:t>产品</w:t>
      </w:r>
      <w:r>
        <w:rPr>
          <w:rFonts w:hint="eastAsia" w:asciiTheme="minorEastAsia" w:hAnsiTheme="minorEastAsia" w:cstheme="minorEastAsia"/>
          <w:color w:val="333333"/>
          <w:kern w:val="0"/>
          <w:szCs w:val="21"/>
        </w:rPr>
        <w:t>送到询价单位指定交付地点经验收合格并开具机动车销售增值税专用发票，</w:t>
      </w:r>
      <w:r>
        <w:rPr>
          <w:rFonts w:hint="eastAsia" w:asciiTheme="minorEastAsia" w:hAnsiTheme="minorEastAsia" w:cstheme="minorEastAsia"/>
          <w:szCs w:val="21"/>
        </w:rPr>
        <w:t>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24</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8402" w:type="dxa"/>
        <w:tblInd w:w="0" w:type="dxa"/>
        <w:tblLayout w:type="fixed"/>
        <w:tblCellMar>
          <w:top w:w="0" w:type="dxa"/>
          <w:left w:w="10" w:type="dxa"/>
          <w:bottom w:w="0" w:type="dxa"/>
          <w:right w:w="10" w:type="dxa"/>
        </w:tblCellMar>
      </w:tblPr>
      <w:tblGrid>
        <w:gridCol w:w="1586"/>
        <w:gridCol w:w="6816"/>
      </w:tblGrid>
      <w:tr>
        <w:tblPrEx>
          <w:tblLayout w:type="fixed"/>
          <w:tblCellMar>
            <w:top w:w="0" w:type="dxa"/>
            <w:left w:w="10" w:type="dxa"/>
            <w:bottom w:w="0" w:type="dxa"/>
            <w:right w:w="10" w:type="dxa"/>
          </w:tblCellMar>
        </w:tblPrEx>
        <w:trPr>
          <w:trHeight w:val="448" w:hRule="atLeast"/>
        </w:trPr>
        <w:tc>
          <w:tcPr>
            <w:tcW w:w="158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项目</w:t>
            </w:r>
          </w:p>
        </w:tc>
        <w:tc>
          <w:tcPr>
            <w:tcW w:w="6816" w:type="dxa"/>
            <w:tcBorders>
              <w:top w:val="single" w:color="000000" w:sz="4"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招标技术要求</w:t>
            </w:r>
          </w:p>
        </w:tc>
      </w:tr>
      <w:tr>
        <w:tblPrEx>
          <w:tblLayout w:type="fixed"/>
          <w:tblCellMar>
            <w:top w:w="0" w:type="dxa"/>
            <w:left w:w="10" w:type="dxa"/>
            <w:bottom w:w="0" w:type="dxa"/>
            <w:right w:w="10" w:type="dxa"/>
          </w:tblCellMar>
        </w:tblPrEx>
        <w:trPr>
          <w:trHeight w:val="448" w:hRule="atLeast"/>
        </w:trPr>
        <w:tc>
          <w:tcPr>
            <w:tcW w:w="158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lang w:val="en-US"/>
              </w:rPr>
            </w:pPr>
            <w:r>
              <w:rPr>
                <w:rFonts w:hint="eastAsia" w:ascii="宋体" w:hAnsi="宋体" w:eastAsia="宋体" w:cs="宋体"/>
                <w:color w:val="auto"/>
                <w:spacing w:val="0"/>
                <w:position w:val="0"/>
                <w:sz w:val="21"/>
                <w:szCs w:val="21"/>
                <w:shd w:val="clear" w:color="auto" w:fill="auto"/>
                <w:lang w:val="en-US" w:eastAsia="zh-CN"/>
              </w:rPr>
              <w:t>最大工作质量</w:t>
            </w:r>
          </w:p>
        </w:tc>
        <w:tc>
          <w:tcPr>
            <w:tcW w:w="6816" w:type="dxa"/>
            <w:tcBorders>
              <w:top w:val="single" w:color="000000" w:sz="4"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≥14000kg</w:t>
            </w:r>
          </w:p>
        </w:tc>
      </w:tr>
      <w:tr>
        <w:tblPrEx>
          <w:tblLayout w:type="fixed"/>
          <w:tblCellMar>
            <w:top w:w="0" w:type="dxa"/>
            <w:left w:w="10" w:type="dxa"/>
            <w:bottom w:w="0" w:type="dxa"/>
            <w:right w:w="10" w:type="dxa"/>
          </w:tblCellMar>
        </w:tblPrEx>
        <w:trPr>
          <w:trHeight w:val="448" w:hRule="atLeast"/>
        </w:trPr>
        <w:tc>
          <w:tcPr>
            <w:tcW w:w="158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整机要求</w:t>
            </w:r>
          </w:p>
        </w:tc>
        <w:tc>
          <w:tcPr>
            <w:tcW w:w="6816" w:type="dxa"/>
            <w:tcBorders>
              <w:top w:val="single" w:color="000000" w:sz="4"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全封闭驾驶室及空调系统</w:t>
            </w:r>
          </w:p>
        </w:tc>
      </w:tr>
      <w:tr>
        <w:tblPrEx>
          <w:tblLayout w:type="fixed"/>
          <w:tblCellMar>
            <w:top w:w="0" w:type="dxa"/>
            <w:left w:w="10" w:type="dxa"/>
            <w:bottom w:w="0" w:type="dxa"/>
            <w:right w:w="10" w:type="dxa"/>
          </w:tblCellMar>
        </w:tblPrEx>
        <w:trPr>
          <w:trHeight w:val="448" w:hRule="atLeast"/>
        </w:trPr>
        <w:tc>
          <w:tcPr>
            <w:tcW w:w="1586" w:type="dxa"/>
            <w:vMerge w:val="restart"/>
            <w:tcBorders>
              <w:top w:val="single" w:color="836967" w:sz="0" w:space="0"/>
              <w:left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发动机</w:t>
            </w: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 xml:space="preserve"> 1.品牌：技术水平不低于国Ⅳ合资品牌发动机（附宣传彩页）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 xml:space="preserve"> </w:t>
            </w:r>
            <w:r>
              <w:rPr>
                <w:rFonts w:hint="eastAsia" w:ascii="宋体" w:hAnsi="宋体" w:eastAsia="宋体" w:cs="宋体"/>
                <w:sz w:val="21"/>
                <w:szCs w:val="21"/>
              </w:rPr>
              <w:t>★</w:t>
            </w:r>
            <w:r>
              <w:rPr>
                <w:rFonts w:hint="eastAsia" w:ascii="宋体" w:hAnsi="宋体" w:eastAsia="宋体" w:cs="宋体"/>
                <w:color w:val="auto"/>
                <w:spacing w:val="0"/>
                <w:position w:val="0"/>
                <w:sz w:val="21"/>
                <w:szCs w:val="21"/>
                <w:shd w:val="clear" w:color="auto" w:fill="auto"/>
              </w:rPr>
              <w:t>2．额定功率≥120KW（附宣传彩页）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 xml:space="preserve"> </w:t>
            </w:r>
            <w:r>
              <w:rPr>
                <w:rFonts w:hint="eastAsia" w:ascii="宋体" w:hAnsi="宋体" w:eastAsia="宋体" w:cs="宋体"/>
                <w:sz w:val="21"/>
                <w:szCs w:val="21"/>
              </w:rPr>
              <w:t>★</w:t>
            </w:r>
            <w:r>
              <w:rPr>
                <w:rFonts w:hint="eastAsia" w:ascii="宋体" w:hAnsi="宋体" w:eastAsia="宋体" w:cs="宋体"/>
                <w:color w:val="auto"/>
                <w:spacing w:val="0"/>
                <w:position w:val="0"/>
                <w:sz w:val="21"/>
                <w:szCs w:val="21"/>
                <w:shd w:val="clear" w:color="auto" w:fill="auto"/>
              </w:rPr>
              <w:t>3.燃油箱容量≥230L</w:t>
            </w:r>
          </w:p>
        </w:tc>
      </w:tr>
      <w:tr>
        <w:tblPrEx>
          <w:tblLayout w:type="fixed"/>
          <w:tblCellMar>
            <w:top w:w="0" w:type="dxa"/>
            <w:left w:w="10" w:type="dxa"/>
            <w:bottom w:w="0" w:type="dxa"/>
            <w:right w:w="10" w:type="dxa"/>
          </w:tblCellMar>
        </w:tblPrEx>
        <w:trPr>
          <w:trHeight w:val="448" w:hRule="atLeast"/>
        </w:trPr>
        <w:tc>
          <w:tcPr>
            <w:tcW w:w="1586" w:type="dxa"/>
            <w:vMerge w:val="continue"/>
            <w:tcBorders>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 xml:space="preserve"> </w:t>
            </w:r>
            <w:r>
              <w:rPr>
                <w:rFonts w:hint="eastAsia" w:ascii="宋体" w:hAnsi="宋体" w:eastAsia="宋体" w:cs="宋体"/>
                <w:sz w:val="21"/>
                <w:szCs w:val="21"/>
              </w:rPr>
              <w:t>★</w:t>
            </w:r>
            <w:r>
              <w:rPr>
                <w:rFonts w:hint="eastAsia" w:ascii="宋体" w:hAnsi="宋体" w:eastAsia="宋体" w:cs="宋体"/>
                <w:color w:val="auto"/>
                <w:spacing w:val="0"/>
                <w:position w:val="0"/>
                <w:sz w:val="21"/>
                <w:szCs w:val="21"/>
                <w:shd w:val="clear" w:color="auto" w:fill="auto"/>
                <w:lang w:val="en-US" w:eastAsia="zh-CN"/>
              </w:rPr>
              <w:t>4.配备发动机自动油门，可全范围自动无极调节</w:t>
            </w:r>
          </w:p>
        </w:tc>
      </w:tr>
      <w:tr>
        <w:tblPrEx>
          <w:tblLayout w:type="fixed"/>
          <w:tblCellMar>
            <w:top w:w="0" w:type="dxa"/>
            <w:left w:w="10" w:type="dxa"/>
            <w:bottom w:w="0" w:type="dxa"/>
            <w:right w:w="10" w:type="dxa"/>
          </w:tblCellMar>
        </w:tblPrEx>
        <w:trPr>
          <w:trHeight w:val="448" w:hRule="atLeast"/>
        </w:trPr>
        <w:tc>
          <w:tcPr>
            <w:tcW w:w="1586" w:type="dxa"/>
            <w:vMerge w:val="restart"/>
            <w:tcBorders>
              <w:top w:val="single" w:color="836967" w:sz="0" w:space="0"/>
              <w:left w:val="single" w:color="000000" w:sz="4" w:space="0"/>
              <w:bottom w:val="single" w:color="836967" w:sz="0"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振动系统</w:t>
            </w: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 xml:space="preserve"> 1.振动轮：前轮+后轮；前后钢轮振动可独立控制</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 xml:space="preserve"> 2.钢轮直径≥1400mm（附宣传彩页）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 xml:space="preserve"> 3.钢轮宽度≥2140mm（附宣传彩页）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000000" w:sz="4"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4.前/后静线压力：≥30Kg/cm（附宣传彩页）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5.振动频率 前/后≥40/60HZ（附宣传彩页）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sz w:val="21"/>
                <w:szCs w:val="21"/>
              </w:rPr>
              <w:t>★</w:t>
            </w:r>
            <w:r>
              <w:rPr>
                <w:rFonts w:hint="eastAsia" w:ascii="宋体" w:hAnsi="宋体" w:eastAsia="宋体" w:cs="宋体"/>
                <w:color w:val="auto"/>
                <w:spacing w:val="0"/>
                <w:position w:val="0"/>
                <w:sz w:val="21"/>
                <w:szCs w:val="21"/>
                <w:shd w:val="clear" w:color="auto" w:fill="auto"/>
                <w:lang w:val="en-US" w:eastAsia="zh-CN"/>
              </w:rPr>
              <w:t>6.振动频率具有两档无极可调</w:t>
            </w:r>
            <w:r>
              <w:rPr>
                <w:rFonts w:hint="eastAsia" w:ascii="宋体" w:hAnsi="宋体" w:eastAsia="宋体" w:cs="宋体"/>
                <w:color w:val="auto"/>
                <w:spacing w:val="0"/>
                <w:position w:val="0"/>
                <w:sz w:val="21"/>
                <w:szCs w:val="21"/>
                <w:shd w:val="clear" w:color="auto" w:fill="auto"/>
              </w:rPr>
              <w:t>（附宣传彩页）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lang w:val="en-US" w:eastAsia="zh-CN"/>
              </w:rPr>
              <w:t>7</w:t>
            </w:r>
            <w:r>
              <w:rPr>
                <w:rFonts w:hint="eastAsia" w:ascii="宋体" w:hAnsi="宋体" w:eastAsia="宋体" w:cs="宋体"/>
                <w:color w:val="auto"/>
                <w:spacing w:val="0"/>
                <w:position w:val="0"/>
                <w:sz w:val="21"/>
                <w:szCs w:val="21"/>
                <w:shd w:val="clear" w:color="auto" w:fill="auto"/>
              </w:rPr>
              <w:t>.激振力 高/低≥140/110kN（附宣传彩页）</w:t>
            </w:r>
          </w:p>
        </w:tc>
      </w:tr>
      <w:tr>
        <w:tblPrEx>
          <w:tblLayout w:type="fixed"/>
          <w:tblCellMar>
            <w:top w:w="0" w:type="dxa"/>
            <w:left w:w="10" w:type="dxa"/>
            <w:bottom w:w="0" w:type="dxa"/>
            <w:right w:w="10" w:type="dxa"/>
          </w:tblCellMar>
        </w:tblPrEx>
        <w:trPr>
          <w:trHeight w:val="448" w:hRule="atLeast"/>
        </w:trPr>
        <w:tc>
          <w:tcPr>
            <w:tcW w:w="1586" w:type="dxa"/>
            <w:vMerge w:val="restart"/>
            <w:tcBorders>
              <w:top w:val="single" w:color="836967" w:sz="0" w:space="0"/>
              <w:left w:val="single" w:color="000000" w:sz="4"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驱动系统</w:t>
            </w: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1.转向方式铰接转向 （附宣传彩页）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2.爬坡能力，振动开/关 34/38 （附宣传彩页）</w:t>
            </w:r>
          </w:p>
        </w:tc>
      </w:tr>
      <w:tr>
        <w:tblPrEx>
          <w:tblLayout w:type="fixed"/>
          <w:tblCellMar>
            <w:top w:w="0" w:type="dxa"/>
            <w:left w:w="10" w:type="dxa"/>
            <w:bottom w:w="0" w:type="dxa"/>
            <w:right w:w="10" w:type="dxa"/>
          </w:tblCellMar>
        </w:tblPrEx>
        <w:trPr>
          <w:trHeight w:val="448" w:hRule="atLeast"/>
        </w:trPr>
        <w:tc>
          <w:tcPr>
            <w:tcW w:w="1586" w:type="dxa"/>
            <w:vMerge w:val="restart"/>
            <w:tcBorders>
              <w:top w:val="single" w:color="836967" w:sz="0" w:space="0"/>
              <w:left w:val="single" w:color="000000" w:sz="4"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洒水系统</w:t>
            </w: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1.洒水形式为压力式；采用双泵系统（附宣传彩页）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2.有折叠式刮板（附宣传彩页）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3.洒水系统均配备三级水过滤装置</w:t>
            </w:r>
          </w:p>
        </w:tc>
      </w:tr>
      <w:tr>
        <w:tblPrEx>
          <w:tblLayout w:type="fixed"/>
          <w:tblCellMar>
            <w:top w:w="0" w:type="dxa"/>
            <w:left w:w="10" w:type="dxa"/>
            <w:bottom w:w="0" w:type="dxa"/>
            <w:right w:w="10" w:type="dxa"/>
          </w:tblCellMar>
        </w:tblPrEx>
        <w:trPr>
          <w:trHeight w:val="448" w:hRule="atLeast"/>
        </w:trPr>
        <w:tc>
          <w:tcPr>
            <w:tcW w:w="1586" w:type="dxa"/>
            <w:tcBorders>
              <w:top w:val="single" w:color="836967" w:sz="0" w:space="0"/>
              <w:left w:val="single" w:color="000000" w:sz="4"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蟹行型式</w:t>
            </w: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1.设备具备蟹行机构，前后轮左右错轮≥170mm（附宣传彩页）</w:t>
            </w:r>
          </w:p>
        </w:tc>
      </w:tr>
      <w:tr>
        <w:tblPrEx>
          <w:tblLayout w:type="fixed"/>
          <w:tblCellMar>
            <w:top w:w="0" w:type="dxa"/>
            <w:left w:w="10" w:type="dxa"/>
            <w:bottom w:w="0" w:type="dxa"/>
            <w:right w:w="10" w:type="dxa"/>
          </w:tblCellMar>
        </w:tblPrEx>
        <w:trPr>
          <w:trHeight w:val="448" w:hRule="atLeast"/>
        </w:trPr>
        <w:tc>
          <w:tcPr>
            <w:tcW w:w="1586" w:type="dxa"/>
            <w:vMerge w:val="restart"/>
            <w:tcBorders>
              <w:top w:val="single" w:color="836967" w:sz="0" w:space="0"/>
              <w:left w:val="single" w:color="000000" w:sz="4" w:space="0"/>
              <w:bottom w:val="single" w:color="836967" w:sz="0"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机器尺寸</w:t>
            </w:r>
          </w:p>
        </w:tc>
        <w:tc>
          <w:tcPr>
            <w:tcW w:w="6816" w:type="dxa"/>
            <w:tcBorders>
              <w:top w:val="single" w:color="000000" w:sz="4"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1.全长≤5300mm （附宣传彩页）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sz w:val="21"/>
                <w:szCs w:val="21"/>
              </w:rPr>
              <w:t>★</w:t>
            </w:r>
            <w:r>
              <w:rPr>
                <w:rFonts w:hint="eastAsia" w:ascii="宋体" w:hAnsi="宋体" w:eastAsia="宋体" w:cs="宋体"/>
                <w:color w:val="auto"/>
                <w:spacing w:val="0"/>
                <w:position w:val="0"/>
                <w:sz w:val="21"/>
                <w:szCs w:val="21"/>
                <w:shd w:val="clear" w:color="auto" w:fill="auto"/>
              </w:rPr>
              <w:t xml:space="preserve">2.含驾驶室工作时总高度≤2985mm </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3.轴距≥3800mm （附宣传彩页）</w:t>
            </w:r>
          </w:p>
        </w:tc>
      </w:tr>
      <w:tr>
        <w:tblPrEx>
          <w:tblLayout w:type="fixed"/>
          <w:tblCellMar>
            <w:top w:w="0" w:type="dxa"/>
            <w:left w:w="10" w:type="dxa"/>
            <w:bottom w:w="0" w:type="dxa"/>
            <w:right w:w="10" w:type="dxa"/>
          </w:tblCellMar>
        </w:tblPrEx>
        <w:trPr>
          <w:trHeight w:val="448"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shd w:val="clear" w:color="auto" w:fill="auto"/>
              </w:rPr>
              <w:t xml:space="preserve">4.最大工作宽度≥2300mm </w:t>
            </w:r>
          </w:p>
        </w:tc>
      </w:tr>
      <w:tr>
        <w:tblPrEx>
          <w:tblLayout w:type="fixed"/>
          <w:tblCellMar>
            <w:top w:w="0" w:type="dxa"/>
            <w:left w:w="10" w:type="dxa"/>
            <w:bottom w:w="0" w:type="dxa"/>
            <w:right w:w="10" w:type="dxa"/>
          </w:tblCellMar>
        </w:tblPrEx>
        <w:trPr>
          <w:trHeight w:val="473" w:hRule="atLeast"/>
        </w:trPr>
        <w:tc>
          <w:tcPr>
            <w:tcW w:w="1586" w:type="dxa"/>
            <w:vMerge w:val="continue"/>
            <w:tcBorders>
              <w:top w:val="single" w:color="836967" w:sz="0" w:space="0"/>
              <w:left w:val="single" w:color="000000" w:sz="4" w:space="0"/>
              <w:bottom w:val="single" w:color="836967" w:sz="0" w:space="0"/>
              <w:right w:val="single" w:color="000000" w:sz="4" w:space="0"/>
            </w:tcBorders>
            <w:shd w:val="clear" w:color="000000" w:fill="FFFFFF"/>
            <w:noWrap w:val="0"/>
            <w:tcMar>
              <w:left w:w="108" w:type="dxa"/>
              <w:right w:w="108" w:type="dxa"/>
            </w:tcMar>
            <w:vAlign w:val="center"/>
          </w:tcPr>
          <w:p>
            <w:pPr>
              <w:spacing w:before="0" w:after="200" w:line="276" w:lineRule="auto"/>
              <w:ind w:left="0" w:right="0" w:firstLine="0"/>
              <w:jc w:val="left"/>
              <w:rPr>
                <w:rFonts w:hint="eastAsia" w:ascii="宋体" w:hAnsi="宋体" w:eastAsia="宋体" w:cs="宋体"/>
                <w:color w:val="auto"/>
                <w:spacing w:val="0"/>
                <w:position w:val="0"/>
                <w:sz w:val="21"/>
                <w:szCs w:val="21"/>
                <w:shd w:val="clear" w:color="auto" w:fill="auto"/>
              </w:rPr>
            </w:pPr>
          </w:p>
        </w:tc>
        <w:tc>
          <w:tcPr>
            <w:tcW w:w="6816" w:type="dxa"/>
            <w:tcBorders>
              <w:top w:val="single" w:color="836967" w:sz="0" w:space="0"/>
              <w:left w:val="single" w:color="836967" w:sz="0" w:space="0"/>
              <w:bottom w:val="single" w:color="836967" w:sz="0" w:space="0"/>
              <w:right w:val="single" w:color="000000" w:sz="4" w:space="0"/>
            </w:tcBorders>
            <w:noWrap w:val="0"/>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zCs w:val="21"/>
              </w:rPr>
            </w:pPr>
            <w:r>
              <w:rPr>
                <w:rFonts w:hint="eastAsia" w:ascii="宋体" w:hAnsi="宋体" w:eastAsia="宋体" w:cs="宋体"/>
                <w:sz w:val="21"/>
                <w:szCs w:val="21"/>
              </w:rPr>
              <w:t>★</w:t>
            </w:r>
            <w:r>
              <w:rPr>
                <w:rFonts w:hint="eastAsia" w:ascii="宋体" w:hAnsi="宋体" w:eastAsia="宋体" w:cs="宋体"/>
                <w:color w:val="auto"/>
                <w:spacing w:val="0"/>
                <w:position w:val="0"/>
                <w:sz w:val="21"/>
                <w:szCs w:val="21"/>
                <w:shd w:val="clear" w:color="auto" w:fill="auto"/>
              </w:rPr>
              <w:t>5.中央离地间隙≥340mm （附宣传彩页）</w:t>
            </w:r>
          </w:p>
        </w:tc>
      </w:tr>
      <w:tr>
        <w:tblPrEx>
          <w:tblLayout w:type="fixed"/>
          <w:tblCellMar>
            <w:top w:w="0" w:type="dxa"/>
            <w:left w:w="10" w:type="dxa"/>
            <w:bottom w:w="0" w:type="dxa"/>
            <w:right w:w="10" w:type="dxa"/>
          </w:tblCellMar>
        </w:tblPrEx>
        <w:trPr>
          <w:trHeight w:val="473" w:hRule="atLeast"/>
        </w:trPr>
        <w:tc>
          <w:tcPr>
            <w:tcW w:w="1586" w:type="dxa"/>
            <w:tcBorders>
              <w:top w:val="single" w:color="836967" w:sz="0"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质保期</w:t>
            </w:r>
          </w:p>
        </w:tc>
        <w:tc>
          <w:tcPr>
            <w:tcW w:w="6816" w:type="dxa"/>
            <w:tcBorders>
              <w:top w:val="single" w:color="836967" w:sz="0" w:space="0"/>
              <w:left w:val="single" w:color="836967" w:sz="0" w:space="0"/>
              <w:bottom w:val="single" w:color="000000" w:sz="4" w:space="0"/>
              <w:right w:val="single" w:color="000000" w:sz="4" w:space="0"/>
            </w:tcBorders>
            <w:noWrap w:val="0"/>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2年</w:t>
            </w:r>
          </w:p>
        </w:tc>
      </w:tr>
    </w:tbl>
    <w:p>
      <w:pP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方正小标宋简体"/>
          <w:b/>
          <w:bCs/>
          <w:sz w:val="32"/>
          <w:szCs w:val="32"/>
        </w:rPr>
      </w:pPr>
    </w:p>
    <w:p>
      <w:pPr>
        <w:pStyle w:val="2"/>
      </w:pPr>
    </w:p>
    <w:p>
      <w:pPr>
        <w:ind w:firstLine="630" w:firstLineChars="300"/>
        <w:jc w:val="left"/>
        <w:rPr>
          <w:rFonts w:hint="eastAsia" w:ascii="宋体" w:hAnsi="宋体" w:eastAsia="宋体" w:cs="宋体"/>
          <w:sz w:val="21"/>
          <w:szCs w:val="21"/>
        </w:rPr>
      </w:pPr>
    </w:p>
    <w:p>
      <w:pPr>
        <w:spacing w:after="0" w:line="440" w:lineRule="exact"/>
        <w:ind w:firstLine="480" w:firstLineChars="200"/>
      </w:pPr>
      <w:r>
        <w:rPr>
          <w:rFonts w:hint="eastAsia" w:ascii="仿宋" w:hAnsi="仿宋" w:eastAsia="仿宋"/>
          <w:sz w:val="24"/>
        </w:rPr>
        <w:t>带</w:t>
      </w:r>
      <w:r>
        <w:rPr>
          <w:rFonts w:hint="eastAsia" w:cs="宋体"/>
          <w:b/>
          <w:bCs/>
          <w:color w:val="FF0000"/>
          <w:sz w:val="21"/>
          <w:szCs w:val="21"/>
          <w:highlight w:val="none"/>
        </w:rPr>
        <w:t>★</w:t>
      </w:r>
      <w:r>
        <w:rPr>
          <w:rFonts w:hint="eastAsia" w:ascii="仿宋" w:hAnsi="仿宋" w:eastAsia="仿宋"/>
          <w:sz w:val="24"/>
        </w:rPr>
        <w:t>参数为关键性技术参数,投标人必须无条件满足</w:t>
      </w:r>
      <w:r>
        <w:rPr>
          <w:rFonts w:ascii="仿宋" w:hAnsi="仿宋" w:eastAsia="仿宋"/>
          <w:sz w:val="24"/>
        </w:rPr>
        <w:t>,</w:t>
      </w:r>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bookmarkStart w:id="79" w:name="_Toc28261"/>
      <w:bookmarkStart w:id="80" w:name="_Toc25299"/>
      <w:r>
        <w:rPr>
          <w:rFonts w:hint="eastAsia" w:ascii="宋体" w:hAnsi="宋体" w:eastAsia="宋体" w:cs="宋体"/>
          <w:b/>
          <w:bCs/>
          <w:sz w:val="21"/>
          <w:szCs w:val="21"/>
        </w:rPr>
        <w:t>培训要求基本服务要求</w:t>
      </w:r>
      <w:bookmarkEnd w:id="79"/>
      <w:bookmarkEnd w:id="80"/>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w:t>
      </w:r>
    </w:p>
    <w:p>
      <w:pPr>
        <w:pStyle w:val="2"/>
        <w:ind w:firstLine="420" w:firstLineChars="200"/>
        <w:rPr>
          <w:rFonts w:hint="eastAsia" w:ascii="宋体" w:hAnsi="宋体" w:eastAsia="宋体" w:cs="宋体"/>
          <w:bCs/>
          <w:sz w:val="21"/>
          <w:szCs w:val="21"/>
        </w:rPr>
      </w:pPr>
      <w:bookmarkStart w:id="81" w:name="_Toc29210"/>
      <w:bookmarkStart w:id="82" w:name="_Toc2123"/>
      <w:r>
        <w:rPr>
          <w:rFonts w:hint="eastAsia" w:ascii="宋体" w:hAnsi="宋体" w:eastAsia="宋体" w:cs="宋体"/>
          <w:bCs/>
          <w:sz w:val="21"/>
          <w:szCs w:val="21"/>
        </w:rPr>
        <w:t>培训计划：完善的培训计划，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质保期及售后服务</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质保期从验收完成之日起按</w:t>
      </w:r>
      <w:r>
        <w:rPr>
          <w:rFonts w:hint="eastAsia" w:ascii="宋体" w:hAnsi="宋体" w:eastAsia="宋体" w:cs="宋体"/>
          <w:bCs/>
          <w:sz w:val="21"/>
          <w:szCs w:val="21"/>
          <w:lang w:val="en-US" w:eastAsia="zh-CN"/>
        </w:rPr>
        <w:t xml:space="preserve"> 2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质保期外出现故障时，供方应按质保期内时效规定提供维修服务，以优惠价格收取材料费及人工费。</w:t>
      </w:r>
    </w:p>
    <w:p>
      <w:pPr>
        <w:pStyle w:val="2"/>
        <w:rPr>
          <w:rFonts w:hint="eastAsia" w:ascii="宋体" w:hAnsi="宋体" w:eastAsia="宋体" w:cs="宋体"/>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3"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17394_WPSOffice_Level1"/>
      <w:bookmarkStart w:id="85" w:name="_Toc1914_WPSOffice_Level1"/>
      <w:bookmarkStart w:id="86" w:name="_Toc27552_WPSOffice_Level1"/>
      <w:bookmarkStart w:id="87" w:name="_Toc5145_WPSOffice_Level1"/>
      <w:r>
        <w:rPr>
          <w:rFonts w:ascii="Times New Roman" w:hAnsi="Times New Roman" w:eastAsia="黑体" w:cs="Times New Roman"/>
          <w:sz w:val="50"/>
          <w:szCs w:val="50"/>
        </w:rPr>
        <w:t>响应文件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25232_WPSOffice_Level2"/>
      <w:bookmarkStart w:id="8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31577_WPSOffice_Level2"/>
      <w:bookmarkStart w:id="91"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2351_WPSOffice_Level2"/>
      <w:bookmarkStart w:id="93" w:name="_Toc21974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30529_WPSOffice_Level1"/>
      <w:bookmarkStart w:id="95" w:name="_Toc6353_WPSOffice_Level1"/>
      <w:bookmarkStart w:id="96" w:name="_Toc23368_WPSOffice_Level1"/>
      <w:bookmarkStart w:id="97" w:name="_Toc11424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31927_WPSOffice_Level1"/>
      <w:bookmarkStart w:id="100" w:name="_Toc32729_WPSOffice_Level1"/>
      <w:bookmarkStart w:id="101" w:name="_Toc5317_WPSOffice_Level1"/>
      <w:bookmarkStart w:id="102" w:name="_Toc21229_WPSOffice_Level1"/>
      <w:r>
        <w:rPr>
          <w:rFonts w:ascii="Times New Roman" w:hAnsi="Times New Roman" w:eastAsia="黑体" w:cs="Times New Roman"/>
          <w:sz w:val="24"/>
        </w:rPr>
        <w:t>二、法定代表人身份证明及授权委托书</w:t>
      </w:r>
      <w:bookmarkEnd w:id="99"/>
      <w:bookmarkEnd w:id="100"/>
      <w:bookmarkEnd w:id="101"/>
      <w:bookmarkEnd w:id="102"/>
    </w:p>
    <w:p>
      <w:pPr>
        <w:spacing w:line="440" w:lineRule="exact"/>
        <w:ind w:left="1619" w:leftChars="771"/>
        <w:rPr>
          <w:rFonts w:ascii="Times New Roman" w:hAnsi="Times New Roman" w:eastAsia="黑体" w:cs="Times New Roman"/>
          <w:sz w:val="24"/>
        </w:rPr>
      </w:pPr>
      <w:bookmarkStart w:id="103" w:name="_Toc29085_WPSOffice_Level1"/>
      <w:bookmarkStart w:id="104" w:name="_Toc4728_WPSOffice_Level1"/>
      <w:bookmarkStart w:id="105" w:name="_Toc23356_WPSOffice_Level1"/>
      <w:bookmarkStart w:id="106"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10608_WPSOffice_Level1"/>
      <w:bookmarkStart w:id="108" w:name="_Toc18964_WPSOffice_Level1"/>
      <w:bookmarkStart w:id="109" w:name="_Toc7453_WPSOffice_Level1"/>
      <w:bookmarkStart w:id="110"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1578_WPSOffice_Level1"/>
      <w:bookmarkStart w:id="112" w:name="_Toc19601_WPSOffice_Level1"/>
      <w:bookmarkStart w:id="113" w:name="_Toc9006_WPSOffice_Level1"/>
      <w:bookmarkStart w:id="114" w:name="_Toc23751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24082_WPSOffice_Level1"/>
      <w:bookmarkStart w:id="116" w:name="_Toc31314_WPSOffice_Level1"/>
      <w:bookmarkStart w:id="117" w:name="_Toc12459_WPSOffice_Level1"/>
      <w:bookmarkStart w:id="118"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20930_WPSOffice_Level1"/>
      <w:bookmarkStart w:id="120" w:name="_Toc32220_WPSOffice_Level1"/>
      <w:r>
        <w:rPr>
          <w:rFonts w:hint="eastAsia" w:ascii="Times New Roman" w:hAnsi="Times New Roman" w:eastAsia="黑体" w:cs="Times New Roman"/>
          <w:sz w:val="24"/>
        </w:rPr>
        <w:t>七</w:t>
      </w:r>
      <w:bookmarkEnd w:id="117"/>
      <w:bookmarkEnd w:id="118"/>
      <w:bookmarkEnd w:id="119"/>
      <w:bookmarkEnd w:id="120"/>
      <w:bookmarkStart w:id="121" w:name="_Toc25804_WPSOffice_Level1"/>
      <w:bookmarkStart w:id="122" w:name="_Toc32648_WPSOffice_Level1"/>
      <w:bookmarkStart w:id="123" w:name="_Toc30273_WPSOffice_Level1"/>
      <w:bookmarkStart w:id="124" w:name="_Toc27403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32152_WPSOffice_Level1"/>
      <w:bookmarkStart w:id="126" w:name="_Toc23147_WPSOffice_Level1"/>
      <w:bookmarkStart w:id="127" w:name="_Toc30234_WPSOffice_Level1"/>
      <w:bookmarkStart w:id="128"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9" w:name="_Toc16988_WPSOffice_Level1"/>
      <w:bookmarkStart w:id="130" w:name="_Toc5885_WPSOffice_Level1"/>
      <w:r>
        <w:rPr>
          <w:rFonts w:hint="eastAsia" w:ascii="Times New Roman" w:hAnsi="Times New Roman" w:eastAsia="黑体" w:cs="Times New Roman"/>
          <w:sz w:val="24"/>
        </w:rPr>
        <w:t>九、其他材料</w:t>
      </w:r>
      <w:bookmarkEnd w:id="98"/>
      <w:bookmarkEnd w:id="129"/>
      <w:bookmarkEnd w:id="130"/>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1" w:name="_Toc18312_WPSOffice_Level1"/>
      <w:bookmarkStart w:id="132" w:name="_Toc1687_WPSOffice_Level1"/>
      <w:bookmarkStart w:id="133" w:name="_Toc30031_WPSOffice_Level1"/>
      <w:bookmarkStart w:id="134" w:name="_Toc29399_WPSOffice_Level1"/>
      <w:bookmarkStart w:id="135" w:name="_Toc2765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12530_WPSOffice_Level1"/>
      <w:bookmarkStart w:id="137" w:name="_Toc18668_WPSOffice_Level1"/>
      <w:bookmarkStart w:id="138" w:name="_Toc8695_WPSOffice_Level1"/>
      <w:bookmarkStart w:id="139" w:name="_Toc32350_WPSOffice_Level1"/>
      <w:bookmarkStart w:id="140" w:name="_Toc14563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20803_WPSOffice_Level2"/>
      <w:bookmarkStart w:id="142" w:name="_Toc515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2035_WPSOffice_Level2"/>
      <w:bookmarkStart w:id="144"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24530_WPSOffice_Level1"/>
      <w:bookmarkStart w:id="146" w:name="_Toc15186_WPSOffice_Level1"/>
      <w:bookmarkStart w:id="147" w:name="_Toc24567_WPSOffice_Level1"/>
      <w:bookmarkStart w:id="148" w:name="_Toc32085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运输费、检测费、验收费、安装调试费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7738_WPSOffice_Level1"/>
      <w:bookmarkStart w:id="151" w:name="_Toc10436_WPSOffice_Level1"/>
      <w:bookmarkStart w:id="152" w:name="_Toc22815_WPSOffice_Level1"/>
      <w:bookmarkStart w:id="153" w:name="_Toc23545_WPSOffice_Level1"/>
      <w:bookmarkStart w:id="154"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7600_WPSOffice_Level2"/>
      <w:bookmarkStart w:id="156" w:name="_Toc2807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7" w:name="_Toc18547_WPSOffice_Level1"/>
      <w:bookmarkStart w:id="158" w:name="_Toc3772_WPSOffice_Level1"/>
      <w:bookmarkStart w:id="159" w:name="_Toc1452_WPSOffice_Level1"/>
      <w:bookmarkStart w:id="160" w:name="_Toc5072_WPSOffice_Level1"/>
      <w:bookmarkStart w:id="161"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5403_WPSOffice_Level1"/>
      <w:bookmarkStart w:id="163" w:name="_Toc9267_WPSOffice_Level1"/>
      <w:bookmarkStart w:id="164" w:name="_Toc30712_WPSOffice_Level1"/>
      <w:bookmarkStart w:id="165" w:name="_Toc3893_WPSOffice_Level1"/>
      <w:bookmarkStart w:id="166"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07187"/>
    <w:rsid w:val="01992D6C"/>
    <w:rsid w:val="01A05D40"/>
    <w:rsid w:val="01C47A83"/>
    <w:rsid w:val="01D26FB5"/>
    <w:rsid w:val="01D8197B"/>
    <w:rsid w:val="01DB4425"/>
    <w:rsid w:val="01F30A06"/>
    <w:rsid w:val="01F423F9"/>
    <w:rsid w:val="02064C9D"/>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B1377"/>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65CA6"/>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7B2823"/>
    <w:rsid w:val="0EC101C2"/>
    <w:rsid w:val="0EC266A4"/>
    <w:rsid w:val="0EC70BFA"/>
    <w:rsid w:val="0ED43311"/>
    <w:rsid w:val="0EDE1004"/>
    <w:rsid w:val="0EF511C8"/>
    <w:rsid w:val="0EF55437"/>
    <w:rsid w:val="0EF56A7A"/>
    <w:rsid w:val="0F084473"/>
    <w:rsid w:val="0F3638ED"/>
    <w:rsid w:val="0F487794"/>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A81257"/>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85172F"/>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021B8"/>
    <w:rsid w:val="1D011989"/>
    <w:rsid w:val="1D1C4C9A"/>
    <w:rsid w:val="1D2C0C7A"/>
    <w:rsid w:val="1D4318D2"/>
    <w:rsid w:val="1D435A83"/>
    <w:rsid w:val="1D502683"/>
    <w:rsid w:val="1D547061"/>
    <w:rsid w:val="1D582C93"/>
    <w:rsid w:val="1D6A0A81"/>
    <w:rsid w:val="1D81597C"/>
    <w:rsid w:val="1D8F37AE"/>
    <w:rsid w:val="1DA538B1"/>
    <w:rsid w:val="1DA60807"/>
    <w:rsid w:val="1DCA0187"/>
    <w:rsid w:val="1DE4287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AE2FC2"/>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6E17A0"/>
    <w:rsid w:val="24857CA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A50E72"/>
    <w:rsid w:val="2BB570B9"/>
    <w:rsid w:val="2BCA60F5"/>
    <w:rsid w:val="2BDF25BB"/>
    <w:rsid w:val="2BED184D"/>
    <w:rsid w:val="2BF97573"/>
    <w:rsid w:val="2C282379"/>
    <w:rsid w:val="2C436A23"/>
    <w:rsid w:val="2C5A5E26"/>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B04CC8"/>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87F4F"/>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5A6665"/>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A61A35"/>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D191420"/>
    <w:rsid w:val="3D4445A5"/>
    <w:rsid w:val="3D4729E2"/>
    <w:rsid w:val="3D481D1C"/>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473D2"/>
    <w:rsid w:val="411D3F96"/>
    <w:rsid w:val="412233A4"/>
    <w:rsid w:val="413E1BC3"/>
    <w:rsid w:val="41477A67"/>
    <w:rsid w:val="414810A7"/>
    <w:rsid w:val="414C660A"/>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E97313"/>
    <w:rsid w:val="43FA55C2"/>
    <w:rsid w:val="441270B5"/>
    <w:rsid w:val="44190C7C"/>
    <w:rsid w:val="4422096E"/>
    <w:rsid w:val="444157D5"/>
    <w:rsid w:val="44466E54"/>
    <w:rsid w:val="446D66E7"/>
    <w:rsid w:val="44782D86"/>
    <w:rsid w:val="44833717"/>
    <w:rsid w:val="44A5291F"/>
    <w:rsid w:val="44B8306C"/>
    <w:rsid w:val="44C4421D"/>
    <w:rsid w:val="44CF2CDE"/>
    <w:rsid w:val="45052B0C"/>
    <w:rsid w:val="451A48EF"/>
    <w:rsid w:val="451B14D6"/>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BC6CDA"/>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7912EF"/>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8EC43E5"/>
    <w:rsid w:val="49025314"/>
    <w:rsid w:val="49130208"/>
    <w:rsid w:val="49392584"/>
    <w:rsid w:val="493B6AAC"/>
    <w:rsid w:val="49700CFC"/>
    <w:rsid w:val="497C39F6"/>
    <w:rsid w:val="498D060A"/>
    <w:rsid w:val="499C3073"/>
    <w:rsid w:val="49AA1C33"/>
    <w:rsid w:val="49BC5471"/>
    <w:rsid w:val="49DA04FD"/>
    <w:rsid w:val="49DA5D92"/>
    <w:rsid w:val="49DD0F1D"/>
    <w:rsid w:val="49E20D34"/>
    <w:rsid w:val="4A1324CB"/>
    <w:rsid w:val="4A1677E0"/>
    <w:rsid w:val="4A1A4DC2"/>
    <w:rsid w:val="4A257DD0"/>
    <w:rsid w:val="4A38409F"/>
    <w:rsid w:val="4A4B510A"/>
    <w:rsid w:val="4A504CF6"/>
    <w:rsid w:val="4A595408"/>
    <w:rsid w:val="4A6E2D05"/>
    <w:rsid w:val="4A937223"/>
    <w:rsid w:val="4A9E4D26"/>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5E33B6"/>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B163FA"/>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1E71EE"/>
    <w:rsid w:val="53226CDE"/>
    <w:rsid w:val="53231B39"/>
    <w:rsid w:val="532E3271"/>
    <w:rsid w:val="533539DF"/>
    <w:rsid w:val="535E1B65"/>
    <w:rsid w:val="53653F46"/>
    <w:rsid w:val="53656BCB"/>
    <w:rsid w:val="536D04D9"/>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803BD3"/>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3C6361"/>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05B3D"/>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028B4"/>
    <w:rsid w:val="5E4C0BFA"/>
    <w:rsid w:val="5E85744A"/>
    <w:rsid w:val="5E8B1BDC"/>
    <w:rsid w:val="5E9D79FE"/>
    <w:rsid w:val="5EA4369B"/>
    <w:rsid w:val="5EBB3B43"/>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16958"/>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711F5"/>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047FD"/>
    <w:rsid w:val="74E16D8B"/>
    <w:rsid w:val="74E87DC9"/>
    <w:rsid w:val="75151909"/>
    <w:rsid w:val="751B76E8"/>
    <w:rsid w:val="751C632F"/>
    <w:rsid w:val="75267B11"/>
    <w:rsid w:val="755D712B"/>
    <w:rsid w:val="75871A0B"/>
    <w:rsid w:val="75896036"/>
    <w:rsid w:val="758F1B5A"/>
    <w:rsid w:val="75991092"/>
    <w:rsid w:val="759B5E27"/>
    <w:rsid w:val="75AE1A09"/>
    <w:rsid w:val="75C04FAC"/>
    <w:rsid w:val="75C24137"/>
    <w:rsid w:val="75C877FE"/>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7F57C6E"/>
    <w:rsid w:val="780455E9"/>
    <w:rsid w:val="78474B5C"/>
    <w:rsid w:val="786A240A"/>
    <w:rsid w:val="78A82F32"/>
    <w:rsid w:val="78FC7191"/>
    <w:rsid w:val="79072005"/>
    <w:rsid w:val="79087EF5"/>
    <w:rsid w:val="790F66E7"/>
    <w:rsid w:val="791E54E8"/>
    <w:rsid w:val="796558AF"/>
    <w:rsid w:val="79714322"/>
    <w:rsid w:val="799148AB"/>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EA1851"/>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01596C"/>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13033</Words>
  <Characters>14009</Characters>
  <Lines>166</Lines>
  <Paragraphs>46</Paragraphs>
  <TotalTime>9</TotalTime>
  <ScaleCrop>false</ScaleCrop>
  <LinksUpToDate>false</LinksUpToDate>
  <CharactersWithSpaces>14498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2023-05-11T09:22:30Z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E228C9FAD4514C9FBD60B28EA79ABF59</vt:lpwstr>
  </property>
</Properties>
</file>