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4.14公务车辆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eastAsia="zh-CN"/>
        </w:rPr>
      </w:pPr>
      <w:r>
        <w:rPr>
          <w:rFonts w:hint="default" w:ascii="Times New Roman" w:hAnsi="Times New Roman" w:eastAsia="黑体" w:cs="Times New Roman"/>
          <w:color w:val="auto"/>
          <w:sz w:val="32"/>
          <w:szCs w:val="32"/>
          <w:highlight w:val="none"/>
          <w:u w:val="none"/>
          <w:lang w:eastAsia="zh-CN"/>
        </w:rPr>
        <w:t>日</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期：</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lang w:eastAsia="zh-CN"/>
        </w:rPr>
        <w:t xml:space="preserve"> 年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eastAsia="黑体" w:cs="Times New Roman"/>
          <w:color w:val="auto"/>
          <w:sz w:val="32"/>
          <w:szCs w:val="32"/>
          <w:highlight w:val="none"/>
          <w:u w:val="single"/>
          <w:lang w:eastAsia="zh-CN"/>
        </w:rPr>
        <w:t xml:space="preserve">月 </w:t>
      </w:r>
      <w:r>
        <w:rPr>
          <w:rFonts w:hint="eastAsia" w:ascii="Times New Roman" w:hAnsi="Times New Roman" w:eastAsia="黑体" w:cs="Times New Roman"/>
          <w:color w:val="auto"/>
          <w:sz w:val="32"/>
          <w:szCs w:val="32"/>
          <w:highlight w:val="none"/>
          <w:u w:val="single"/>
          <w:lang w:val="en-US" w:eastAsia="zh-CN"/>
        </w:rPr>
        <w:t>14</w:t>
      </w:r>
      <w:r>
        <w:rPr>
          <w:rFonts w:hint="default" w:ascii="Times New Roman" w:hAnsi="Times New Roman" w:eastAsia="黑体" w:cs="Times New Roman"/>
          <w:color w:val="auto"/>
          <w:sz w:val="32"/>
          <w:szCs w:val="32"/>
          <w:highlight w:val="none"/>
          <w:u w:val="single"/>
          <w:lang w:eastAsia="zh-CN"/>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 w:name="_Toc24354_WPSOffice_Level2"/>
      <w:bookmarkStart w:id="3" w:name="_Toc525632585"/>
      <w:bookmarkStart w:id="4" w:name="_Toc12765"/>
      <w:bookmarkStart w:id="5" w:name="_Toc6496_WPSOffice_Level2"/>
      <w:bookmarkStart w:id="6" w:name="_Toc13871"/>
      <w:bookmarkStart w:id="7" w:name="_Toc4489_WPSOffice_Level2"/>
      <w:bookmarkStart w:id="8" w:name="_Toc10395_WPSOffice_Level2"/>
      <w:r>
        <w:rPr>
          <w:rFonts w:hint="eastAsia" w:ascii="宋体" w:hAnsi="宋体" w:eastAsia="宋体" w:cs="宋体"/>
          <w:bCs w:val="0"/>
          <w:color w:val="auto"/>
          <w:sz w:val="21"/>
          <w:szCs w:val="21"/>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 项目名称：</w:t>
      </w:r>
      <w:r>
        <w:rPr>
          <w:rFonts w:hint="eastAsia" w:ascii="宋体" w:hAnsi="宋体" w:eastAsia="宋体" w:cs="宋体"/>
          <w:color w:val="auto"/>
          <w:sz w:val="21"/>
          <w:szCs w:val="21"/>
          <w:highlight w:val="none"/>
          <w:u w:val="single"/>
          <w:lang w:val="en-US" w:eastAsia="zh-CN"/>
        </w:rPr>
        <w:t xml:space="preserve"> 2023年安徽交运集团汽车销售有限公司4.14公务车辆采购项目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采 购 人：</w:t>
      </w:r>
      <w:r>
        <w:rPr>
          <w:rFonts w:hint="eastAsia" w:ascii="宋体" w:hAnsi="宋体" w:eastAsia="宋体" w:cs="宋体"/>
          <w:color w:val="auto"/>
          <w:sz w:val="21"/>
          <w:szCs w:val="21"/>
          <w:highlight w:val="none"/>
          <w:u w:val="single"/>
          <w:lang w:val="en-US" w:eastAsia="zh-CN"/>
        </w:rPr>
        <w:t xml:space="preserve"> 安徽交运集团汽车销售有限公司</w:t>
      </w:r>
    </w:p>
    <w:p>
      <w:pPr>
        <w:snapToGrid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val="en-US" w:eastAsia="zh-CN"/>
        </w:rPr>
        <w:t>项目概况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2台皮卡、2台商务车、1台大型客车</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9" w:name="_Toc23266_WPSOffice_Level2"/>
      <w:bookmarkStart w:id="10" w:name="_Toc10274"/>
      <w:bookmarkStart w:id="11" w:name="_Toc8128_WPSOffice_Level2"/>
      <w:bookmarkStart w:id="12" w:name="_Toc18453"/>
      <w:bookmarkStart w:id="13" w:name="_Toc18367_WPSOffice_Level2"/>
      <w:bookmarkStart w:id="14" w:name="_Toc525632586"/>
      <w:bookmarkStart w:id="15" w:name="_Toc17858_WPSOffice_Level2"/>
      <w:r>
        <w:rPr>
          <w:rFonts w:hint="eastAsia" w:ascii="宋体" w:hAnsi="宋体" w:eastAsia="宋体" w:cs="宋体"/>
          <w:bCs w:val="0"/>
          <w:color w:val="auto"/>
          <w:sz w:val="21"/>
          <w:szCs w:val="21"/>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rPr>
      </w:pPr>
      <w:bookmarkStart w:id="16" w:name="_Toc4489_WPSOffice_Level3"/>
      <w:r>
        <w:rPr>
          <w:rFonts w:hint="eastAsia" w:ascii="宋体" w:hAnsi="宋体" w:eastAsia="宋体" w:cs="宋体"/>
          <w:color w:val="auto"/>
          <w:sz w:val="21"/>
          <w:szCs w:val="21"/>
          <w:highlight w:val="none"/>
        </w:rPr>
        <w:t>2.1 采购方式：</w:t>
      </w:r>
      <w:bookmarkEnd w:id="16"/>
      <w:r>
        <w:rPr>
          <w:rFonts w:hint="eastAsia" w:ascii="宋体" w:hAnsi="宋体" w:eastAsia="宋体" w:cs="宋体"/>
          <w:color w:val="auto"/>
          <w:sz w:val="21"/>
          <w:szCs w:val="21"/>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bookmarkStart w:id="17" w:name="_Toc23266_WPSOffice_Level3"/>
      <w:r>
        <w:rPr>
          <w:rFonts w:hint="eastAsia" w:ascii="宋体" w:hAnsi="宋体" w:eastAsia="宋体" w:cs="宋体"/>
          <w:color w:val="auto"/>
          <w:sz w:val="21"/>
          <w:szCs w:val="21"/>
          <w:highlight w:val="none"/>
        </w:rPr>
        <w:t>2.2 资金来源</w:t>
      </w:r>
      <w:r>
        <w:rPr>
          <w:rFonts w:hint="eastAsia" w:ascii="宋体" w:hAnsi="宋体" w:eastAsia="宋体" w:cs="宋体"/>
          <w:color w:val="auto"/>
          <w:sz w:val="21"/>
          <w:szCs w:val="21"/>
          <w:highlight w:val="none"/>
          <w:lang w:val="en-US" w:eastAsia="zh-CN"/>
        </w:rPr>
        <w:t>及比例</w:t>
      </w:r>
      <w:r>
        <w:rPr>
          <w:rFonts w:hint="eastAsia" w:ascii="宋体" w:hAnsi="宋体" w:eastAsia="宋体" w:cs="宋体"/>
          <w:color w:val="auto"/>
          <w:sz w:val="21"/>
          <w:szCs w:val="21"/>
          <w:highlight w:val="none"/>
        </w:rPr>
        <w:t>：</w:t>
      </w:r>
      <w:bookmarkEnd w:id="17"/>
      <w:bookmarkStart w:id="18" w:name="_Toc22379_WPSOffice_Level3"/>
      <w:r>
        <w:rPr>
          <w:rFonts w:hint="eastAsia" w:ascii="宋体" w:hAnsi="宋体" w:eastAsia="宋体" w:cs="宋体"/>
          <w:color w:val="auto"/>
          <w:sz w:val="21"/>
          <w:szCs w:val="21"/>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xml:space="preserve">2.3 </w:t>
      </w:r>
      <w:r>
        <w:rPr>
          <w:rFonts w:hint="eastAsia" w:ascii="宋体" w:hAnsi="宋体" w:eastAsia="宋体" w:cs="宋体"/>
          <w:color w:val="auto"/>
          <w:sz w:val="21"/>
          <w:szCs w:val="21"/>
          <w:highlight w:val="none"/>
          <w:lang w:val="en-US" w:eastAsia="zh-CN"/>
        </w:rPr>
        <w:t>采购范围：</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2台皮卡、2台商务车、1台大型客车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2.4 合同包划分：</w:t>
      </w:r>
      <w:r>
        <w:rPr>
          <w:rFonts w:hint="eastAsia" w:ascii="宋体" w:hAnsi="宋体" w:eastAsia="宋体" w:cs="宋体"/>
          <w:i w:val="0"/>
          <w:iCs w:val="0"/>
          <w:color w:val="auto"/>
          <w:sz w:val="21"/>
          <w:szCs w:val="21"/>
          <w:highlight w:val="none"/>
          <w:u w:val="single"/>
          <w:lang w:val="en-US" w:eastAsia="zh-CN"/>
        </w:rPr>
        <w:t xml:space="preserve"> 分包（采购</w:t>
      </w:r>
      <w:r>
        <w:rPr>
          <w:rFonts w:hint="eastAsia" w:ascii="宋体" w:hAnsi="宋体" w:eastAsia="宋体" w:cs="宋体"/>
          <w:i w:val="0"/>
          <w:iCs w:val="0"/>
          <w:sz w:val="21"/>
          <w:szCs w:val="21"/>
          <w:u w:val="single"/>
        </w:rPr>
        <w:t>江铃域虎7</w:t>
      </w:r>
      <w:r>
        <w:rPr>
          <w:rFonts w:hint="eastAsia" w:ascii="宋体" w:hAnsi="宋体" w:eastAsia="宋体" w:cs="宋体"/>
          <w:i w:val="0"/>
          <w:iCs w:val="0"/>
          <w:sz w:val="21"/>
          <w:szCs w:val="21"/>
          <w:u w:val="single"/>
          <w:lang w:val="en-US" w:eastAsia="zh-CN"/>
        </w:rPr>
        <w:t xml:space="preserve"> </w:t>
      </w:r>
      <w:r>
        <w:rPr>
          <w:rFonts w:hint="eastAsia" w:ascii="宋体" w:hAnsi="宋体" w:eastAsia="宋体" w:cs="宋体"/>
          <w:i w:val="0"/>
          <w:iCs w:val="0"/>
          <w:sz w:val="21"/>
          <w:szCs w:val="21"/>
          <w:u w:val="single"/>
        </w:rPr>
        <w:t xml:space="preserve"> 202</w:t>
      </w:r>
      <w:r>
        <w:rPr>
          <w:rFonts w:hint="eastAsia" w:ascii="宋体" w:hAnsi="宋体" w:eastAsia="宋体" w:cs="宋体"/>
          <w:i w:val="0"/>
          <w:iCs w:val="0"/>
          <w:sz w:val="21"/>
          <w:szCs w:val="21"/>
          <w:u w:val="single"/>
          <w:lang w:val="en-US" w:eastAsia="zh-CN"/>
        </w:rPr>
        <w:t>3</w:t>
      </w:r>
      <w:r>
        <w:rPr>
          <w:rFonts w:hint="eastAsia" w:ascii="宋体" w:hAnsi="宋体" w:eastAsia="宋体" w:cs="宋体"/>
          <w:i w:val="0"/>
          <w:iCs w:val="0"/>
          <w:sz w:val="21"/>
          <w:szCs w:val="21"/>
          <w:u w:val="single"/>
        </w:rPr>
        <w:t xml:space="preserve">款 2.0T柴油自动四驱舒享版长轴国VI </w:t>
      </w:r>
      <w:r>
        <w:rPr>
          <w:rFonts w:hint="eastAsia" w:ascii="宋体" w:hAnsi="宋体" w:eastAsia="宋体" w:cs="宋体"/>
          <w:i w:val="0"/>
          <w:iCs w:val="0"/>
          <w:sz w:val="21"/>
          <w:szCs w:val="21"/>
          <w:u w:val="single"/>
          <w:lang w:val="en-US" w:eastAsia="zh-CN"/>
        </w:rPr>
        <w:t>2台 为1包 限价30万；</w:t>
      </w:r>
      <w:r>
        <w:rPr>
          <w:rFonts w:hint="eastAsia" w:ascii="宋体" w:hAnsi="宋体" w:eastAsia="宋体" w:cs="宋体"/>
          <w:sz w:val="21"/>
          <w:szCs w:val="21"/>
          <w:u w:val="single"/>
          <w:lang w:val="en-US" w:eastAsia="zh-CN"/>
        </w:rPr>
        <w:t>2023款广汽传祺领秀系列M8 390T豪华版2台 为2包 限价40万；厦门金旅XML6887J16Z 1台 为3包 限价40万</w:t>
      </w:r>
      <w:bookmarkStart w:id="140" w:name="_GoBack"/>
      <w:bookmarkEnd w:id="140"/>
      <w:r>
        <w:rPr>
          <w:rFonts w:hint="eastAsia" w:ascii="宋体" w:hAnsi="宋体" w:eastAsia="宋体" w:cs="宋体"/>
          <w:i w:val="0"/>
          <w:iCs w:val="0"/>
          <w:color w:val="auto"/>
          <w:sz w:val="21"/>
          <w:szCs w:val="21"/>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最高限价：</w:t>
      </w:r>
      <w:bookmarkEnd w:id="18"/>
      <w:r>
        <w:rPr>
          <w:rFonts w:hint="eastAsia" w:ascii="宋体" w:hAnsi="宋体" w:eastAsia="宋体" w:cs="宋体"/>
          <w:color w:val="auto"/>
          <w:sz w:val="21"/>
          <w:szCs w:val="21"/>
          <w:highlight w:val="none"/>
          <w:u w:val="single"/>
          <w:lang w:val="en-US" w:eastAsia="zh-CN"/>
        </w:rPr>
        <w:t xml:space="preserve"> 110万 （包含车辆购置税）</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color w:val="auto"/>
          <w:sz w:val="21"/>
          <w:szCs w:val="21"/>
          <w:highlight w:val="none"/>
          <w:lang w:val="en-US" w:eastAsia="zh-CN"/>
        </w:rPr>
        <w:t>2.6 计划交货期：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kern w:val="2"/>
          <w:sz w:val="21"/>
          <w:szCs w:val="21"/>
          <w:u w:val="single"/>
        </w:rPr>
        <w:t>合同签订后</w:t>
      </w:r>
      <w:r>
        <w:rPr>
          <w:rFonts w:hint="eastAsia" w:ascii="宋体" w:hAnsi="宋体" w:eastAsia="宋体" w:cs="宋体"/>
          <w:kern w:val="2"/>
          <w:sz w:val="21"/>
          <w:szCs w:val="21"/>
          <w:u w:val="single"/>
          <w:lang w:val="en-US" w:eastAsia="zh-CN"/>
        </w:rPr>
        <w:t>40</w:t>
      </w:r>
      <w:r>
        <w:rPr>
          <w:rFonts w:hint="eastAsia" w:ascii="宋体" w:hAnsi="宋体" w:eastAsia="宋体" w:cs="宋体"/>
          <w:kern w:val="2"/>
          <w:sz w:val="21"/>
          <w:szCs w:val="21"/>
          <w:u w:val="single"/>
        </w:rPr>
        <w:t>日内完成交货</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19" w:name="_Toc3714"/>
      <w:bookmarkStart w:id="20" w:name="_Toc1622_WPSOffice_Level2"/>
      <w:bookmarkStart w:id="21" w:name="_Toc6388"/>
      <w:bookmarkStart w:id="22" w:name="_Toc525632587"/>
      <w:bookmarkStart w:id="23" w:name="_Toc29516_WPSOffice_Level2"/>
      <w:bookmarkStart w:id="24" w:name="_Toc22379_WPSOffice_Level2"/>
      <w:bookmarkStart w:id="25" w:name="_Toc31673_WPSOffice_Level2"/>
      <w:r>
        <w:rPr>
          <w:rFonts w:hint="eastAsia" w:ascii="宋体" w:hAnsi="宋体" w:eastAsia="宋体" w:cs="宋体"/>
          <w:bCs w:val="0"/>
          <w:color w:val="auto"/>
          <w:sz w:val="21"/>
          <w:szCs w:val="21"/>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本次采购要求供应商须同时具备：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（1）资质最低要求：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①供应商应具备本次采购品牌车辆的销售资质，具备独立法人资格，持有有效的营业执照；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②供应商应为本次采购品牌车辆的制造商或代理商，代理商应具备</w:t>
      </w:r>
      <w:r>
        <w:rPr>
          <w:rFonts w:hint="eastAsia" w:ascii="宋体" w:hAnsi="宋体" w:eastAsia="宋体" w:cs="宋体"/>
          <w:color w:val="auto"/>
          <w:sz w:val="21"/>
          <w:szCs w:val="21"/>
          <w:highlight w:val="none"/>
          <w:u w:val="single"/>
          <w:lang w:val="en-US" w:eastAsia="zh-CN"/>
        </w:rPr>
        <w:t>制造商直接授予的代理授权书</w:t>
      </w:r>
      <w:r>
        <w:rPr>
          <w:rFonts w:hint="eastAsia" w:ascii="宋体" w:hAnsi="宋体" w:eastAsia="宋体" w:cs="宋体"/>
          <w:color w:val="auto"/>
          <w:sz w:val="21"/>
          <w:szCs w:val="21"/>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i w:val="0"/>
          <w:caps w:val="0"/>
          <w:color w:val="auto"/>
          <w:spacing w:val="0"/>
          <w:sz w:val="21"/>
          <w:szCs w:val="21"/>
          <w:shd w:val="clear" w:fill="FFFFFF"/>
        </w:rPr>
        <w:t>近</w:t>
      </w:r>
      <w:r>
        <w:rPr>
          <w:rFonts w:hint="eastAsia" w:ascii="宋体" w:hAnsi="宋体" w:eastAsia="宋体" w:cs="宋体"/>
          <w:b w:val="0"/>
          <w:bCs w:val="0"/>
          <w:i w:val="0"/>
          <w:caps w:val="0"/>
          <w:color w:val="auto"/>
          <w:spacing w:val="0"/>
          <w:sz w:val="21"/>
          <w:szCs w:val="21"/>
          <w:shd w:val="clear" w:fill="FFFFFF"/>
          <w:lang w:val="en-US" w:eastAsia="zh-CN"/>
        </w:rPr>
        <w:t>3</w:t>
      </w:r>
      <w:r>
        <w:rPr>
          <w:rFonts w:hint="eastAsia" w:ascii="宋体" w:hAnsi="宋体" w:eastAsia="宋体" w:cs="宋体"/>
          <w:b w:val="0"/>
          <w:bCs w:val="0"/>
          <w:i w:val="0"/>
          <w:caps w:val="0"/>
          <w:color w:val="auto"/>
          <w:spacing w:val="0"/>
          <w:sz w:val="21"/>
          <w:szCs w:val="21"/>
          <w:shd w:val="clear" w:fill="FFFFFF"/>
        </w:rPr>
        <w:t>年（时间以响应文件递交截止日期为准）具备</w:t>
      </w:r>
      <w:r>
        <w:rPr>
          <w:rFonts w:hint="eastAsia" w:ascii="宋体" w:hAnsi="宋体" w:eastAsia="宋体" w:cs="宋体"/>
          <w:b w:val="0"/>
          <w:bCs w:val="0"/>
          <w:i w:val="0"/>
          <w:caps w:val="0"/>
          <w:color w:val="auto"/>
          <w:spacing w:val="0"/>
          <w:sz w:val="21"/>
          <w:szCs w:val="21"/>
          <w:shd w:val="clear" w:fill="FFFFFF"/>
          <w:lang w:eastAsia="zh-CN"/>
        </w:rPr>
        <w:t>本次采购品牌销售业绩</w:t>
      </w:r>
      <w:r>
        <w:rPr>
          <w:rFonts w:hint="eastAsia" w:ascii="宋体" w:hAnsi="宋体" w:eastAsia="宋体" w:cs="宋体"/>
          <w:b w:val="0"/>
          <w:bCs w:val="0"/>
          <w:i w:val="0"/>
          <w:caps w:val="0"/>
          <w:color w:val="auto"/>
          <w:spacing w:val="0"/>
          <w:sz w:val="21"/>
          <w:szCs w:val="21"/>
          <w:shd w:val="clear" w:fill="FFFFFF"/>
        </w:rPr>
        <w:t>，</w:t>
      </w:r>
      <w:r>
        <w:rPr>
          <w:rFonts w:hint="eastAsia" w:ascii="宋体" w:hAnsi="宋体" w:eastAsia="宋体" w:cs="宋体"/>
          <w:b w:val="0"/>
          <w:bCs w:val="0"/>
          <w:i w:val="0"/>
          <w:caps w:val="0"/>
          <w:color w:val="auto"/>
          <w:spacing w:val="0"/>
          <w:sz w:val="21"/>
          <w:szCs w:val="21"/>
          <w:shd w:val="clear" w:fill="FFFFFF"/>
          <w:lang w:eastAsia="zh-CN"/>
        </w:rPr>
        <w:t>销售车辆不得少于</w:t>
      </w:r>
      <w:r>
        <w:rPr>
          <w:rFonts w:hint="eastAsia" w:ascii="宋体" w:hAnsi="宋体" w:eastAsia="宋体" w:cs="宋体"/>
          <w:b w:val="0"/>
          <w:bCs w:val="0"/>
          <w:i w:val="0"/>
          <w:caps w:val="0"/>
          <w:color w:val="auto"/>
          <w:spacing w:val="0"/>
          <w:sz w:val="21"/>
          <w:szCs w:val="21"/>
          <w:shd w:val="clear" w:fill="FFFFFF"/>
          <w:lang w:val="en-US" w:eastAsia="zh-CN"/>
        </w:rPr>
        <w:t>5台。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②未进入清算程序，或被宣告破产，或其他丧失履约能力的情形；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③在国家企业信用信息公示系统（http://www.gsxt.gov.cn）中未被列入严重违法失信企业名单；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④在“信用中国”网站（http://www.creditchina.gov.cn）中未被列入失信被执行人名单；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⑤在近三年内（自响应文件递交截止之日向前追溯3年）供应商或其法定代表人未有行贿犯罪行为；</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联合体：本次采购</w:t>
      </w:r>
      <w:r>
        <w:rPr>
          <w:rFonts w:hint="eastAsia" w:ascii="宋体" w:hAnsi="宋体" w:eastAsia="宋体" w:cs="宋体"/>
          <w:color w:val="auto"/>
          <w:sz w:val="21"/>
          <w:szCs w:val="21"/>
          <w:highlight w:val="none"/>
          <w:u w:val="none"/>
          <w:lang w:val="en-US" w:eastAsia="zh-CN"/>
        </w:rPr>
        <w:t>不接受</w:t>
      </w:r>
      <w:r>
        <w:rPr>
          <w:rFonts w:hint="eastAsia" w:ascii="宋体" w:hAnsi="宋体" w:eastAsia="宋体" w:cs="宋体"/>
          <w:color w:val="auto"/>
          <w:sz w:val="21"/>
          <w:szCs w:val="21"/>
          <w:highlight w:val="none"/>
        </w:rPr>
        <w:t>联合体报价</w:t>
      </w:r>
      <w:r>
        <w:rPr>
          <w:rFonts w:hint="eastAsia" w:ascii="宋体" w:hAnsi="宋体" w:eastAsia="宋体" w:cs="宋体"/>
          <w:color w:val="auto"/>
          <w:sz w:val="21"/>
          <w:szCs w:val="21"/>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单位负责人为同一人或者存在控股、管理关系的不同单位，不得同时参加</w:t>
      </w:r>
      <w:r>
        <w:rPr>
          <w:rFonts w:hint="eastAsia" w:ascii="宋体" w:hAnsi="宋体" w:eastAsia="宋体" w:cs="宋体"/>
          <w:color w:val="auto"/>
          <w:sz w:val="21"/>
          <w:szCs w:val="21"/>
          <w:highlight w:val="none"/>
          <w:lang w:val="en-US" w:eastAsia="zh-CN"/>
        </w:rPr>
        <w:t>同一合同包</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否则相关响应文件均无效</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6" w:name="_Toc1994"/>
      <w:bookmarkStart w:id="27" w:name="_Toc25666_WPSOffice_Level2"/>
      <w:bookmarkStart w:id="28" w:name="_Toc4109_WPSOffice_Level2"/>
      <w:bookmarkStart w:id="29" w:name="_Toc525632588"/>
      <w:bookmarkStart w:id="30" w:name="_Toc4751"/>
      <w:bookmarkStart w:id="31" w:name="_Toc29452_WPSOffice_Level2"/>
      <w:bookmarkStart w:id="32" w:name="_Toc2996_WPSOffice_Level2"/>
      <w:r>
        <w:rPr>
          <w:rFonts w:hint="eastAsia" w:ascii="宋体" w:hAnsi="宋体" w:eastAsia="宋体" w:cs="宋体"/>
          <w:bCs w:val="0"/>
          <w:color w:val="auto"/>
          <w:sz w:val="21"/>
          <w:szCs w:val="21"/>
          <w:highlight w:val="none"/>
          <w:lang w:eastAsia="zh-CN"/>
        </w:rPr>
        <w:t>询比文件</w:t>
      </w:r>
      <w:r>
        <w:rPr>
          <w:rFonts w:hint="eastAsia" w:ascii="宋体" w:hAnsi="宋体" w:eastAsia="宋体" w:cs="宋体"/>
          <w:bCs w:val="0"/>
          <w:color w:val="auto"/>
          <w:sz w:val="21"/>
          <w:szCs w:val="21"/>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供应商应在递交响应文件的截止时间前登录安徽交运集团网站（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），选择所参加的合同包，</w:t>
      </w:r>
      <w:r>
        <w:rPr>
          <w:rFonts w:hint="eastAsia" w:ascii="宋体" w:hAnsi="宋体" w:eastAsia="宋体" w:cs="宋体"/>
          <w:color w:val="auto"/>
          <w:sz w:val="21"/>
          <w:szCs w:val="21"/>
          <w:highlight w:val="none"/>
        </w:rPr>
        <w:t>自行下载</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lang w:val="en-US" w:eastAsia="zh-CN"/>
        </w:rPr>
        <w:t>及相关资料</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3" w:name="_Toc525632589"/>
      <w:bookmarkStart w:id="34" w:name="_Toc726"/>
      <w:r>
        <w:rPr>
          <w:rFonts w:hint="eastAsia" w:ascii="宋体" w:hAnsi="宋体" w:eastAsia="宋体" w:cs="宋体"/>
          <w:bCs w:val="0"/>
          <w:color w:val="auto"/>
          <w:sz w:val="21"/>
          <w:szCs w:val="21"/>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响应文件递交的截止时间为</w:t>
      </w:r>
      <w:r>
        <w:rPr>
          <w:rFonts w:hint="eastAsia" w:ascii="宋体" w:hAnsi="宋体" w:eastAsia="宋体" w:cs="宋体"/>
          <w:color w:val="auto"/>
          <w:sz w:val="21"/>
          <w:szCs w:val="21"/>
          <w:highlight w:val="none"/>
          <w:u w:val="single"/>
          <w:lang w:val="en-US" w:eastAsia="zh-CN"/>
        </w:rPr>
        <w:t xml:space="preserve"> 2023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4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21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，供应商的法定代表人或其授权代理人应于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21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rPr>
        <w:t>递交的截止时间前将响应文件</w:t>
      </w:r>
      <w:r>
        <w:rPr>
          <w:rFonts w:hint="eastAsia" w:ascii="宋体" w:hAnsi="宋体" w:eastAsia="宋体" w:cs="宋体"/>
          <w:color w:val="auto"/>
          <w:sz w:val="21"/>
          <w:szCs w:val="21"/>
          <w:highlight w:val="none"/>
          <w:lang w:val="en-US" w:eastAsia="zh-CN"/>
        </w:rPr>
        <w:t>递交至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合肥市胜利路</w:t>
      </w:r>
      <w:r>
        <w:rPr>
          <w:rFonts w:hint="eastAsia" w:ascii="宋体" w:hAnsi="宋体" w:eastAsia="宋体" w:cs="宋体"/>
          <w:color w:val="auto"/>
          <w:sz w:val="21"/>
          <w:szCs w:val="21"/>
          <w:highlight w:val="none"/>
          <w:u w:val="single"/>
          <w:lang w:val="en-US" w:eastAsia="zh-CN"/>
        </w:rPr>
        <w:t>35号，</w:t>
      </w:r>
      <w:r>
        <w:rPr>
          <w:rFonts w:hint="eastAsia" w:ascii="宋体" w:hAnsi="宋体" w:eastAsia="宋体" w:cs="宋体"/>
          <w:color w:val="auto"/>
          <w:sz w:val="21"/>
          <w:szCs w:val="21"/>
          <w:highlight w:val="none"/>
          <w:u w:val="single"/>
          <w:lang w:eastAsia="zh-CN"/>
        </w:rPr>
        <w:t>交通饭店三楼</w:t>
      </w:r>
      <w:r>
        <w:rPr>
          <w:rFonts w:hint="eastAsia" w:ascii="宋体" w:hAnsi="宋体" w:eastAsia="宋体" w:cs="宋体"/>
          <w:color w:val="auto"/>
          <w:sz w:val="21"/>
          <w:szCs w:val="21"/>
          <w:highlight w:val="none"/>
          <w:u w:val="single"/>
          <w:lang w:val="en-US" w:eastAsia="zh-CN"/>
        </w:rPr>
        <w:t xml:space="preserve"> 汽车销售有限公司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5" w:name="_Toc525632591"/>
      <w:bookmarkStart w:id="36" w:name="_Toc22719"/>
      <w:r>
        <w:rPr>
          <w:rFonts w:hint="eastAsia" w:ascii="宋体" w:hAnsi="宋体" w:eastAsia="宋体" w:cs="宋体"/>
          <w:bCs w:val="0"/>
          <w:color w:val="auto"/>
          <w:sz w:val="21"/>
          <w:szCs w:val="21"/>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响应文件的</w:t>
      </w:r>
      <w:r>
        <w:rPr>
          <w:rFonts w:hint="eastAsia" w:ascii="宋体" w:hAnsi="宋体" w:eastAsia="宋体" w:cs="宋体"/>
          <w:color w:val="auto"/>
          <w:sz w:val="21"/>
          <w:szCs w:val="21"/>
          <w:highlight w:val="none"/>
        </w:rPr>
        <w:t>递交截止时间</w:t>
      </w:r>
      <w:r>
        <w:rPr>
          <w:rFonts w:hint="eastAsia" w:ascii="宋体" w:hAnsi="宋体" w:eastAsia="宋体" w:cs="宋体"/>
          <w:color w:val="auto"/>
          <w:sz w:val="21"/>
          <w:szCs w:val="21"/>
          <w:highlight w:val="none"/>
          <w:lang w:val="en-US" w:eastAsia="zh-CN"/>
        </w:rPr>
        <w:t>到后，采购人将于_</w:t>
      </w:r>
      <w:r>
        <w:rPr>
          <w:rFonts w:hint="eastAsia" w:ascii="宋体" w:hAnsi="宋体" w:eastAsia="宋体" w:cs="宋体"/>
          <w:color w:val="auto"/>
          <w:sz w:val="21"/>
          <w:szCs w:val="21"/>
          <w:highlight w:val="none"/>
          <w:u w:val="single"/>
          <w:lang w:val="en-US" w:eastAsia="zh-CN"/>
        </w:rPr>
        <w:t>交通饭店三楼会议室</w:t>
      </w:r>
      <w:r>
        <w:rPr>
          <w:rFonts w:hint="eastAsia" w:ascii="宋体" w:hAnsi="宋体" w:eastAsia="宋体" w:cs="宋体"/>
          <w:color w:val="auto"/>
          <w:sz w:val="21"/>
          <w:szCs w:val="21"/>
          <w:highlight w:val="none"/>
          <w:lang w:val="en-US" w:eastAsia="zh-CN"/>
        </w:rPr>
        <w:t>_（地点）组织进行响应文件的启封。供应商的法定代表人或授权代理人应携带本人身份证、</w:t>
      </w:r>
      <w:r>
        <w:rPr>
          <w:rFonts w:hint="eastAsia" w:ascii="宋体" w:hAnsi="宋体" w:eastAsia="宋体" w:cs="宋体"/>
          <w:color w:val="auto"/>
          <w:sz w:val="21"/>
          <w:szCs w:val="21"/>
          <w:highlight w:val="none"/>
        </w:rPr>
        <w:t>授权代理人</w:t>
      </w:r>
      <w:r>
        <w:rPr>
          <w:rFonts w:hint="eastAsia" w:ascii="宋体" w:hAnsi="宋体" w:eastAsia="宋体" w:cs="宋体"/>
          <w:color w:val="auto"/>
          <w:sz w:val="21"/>
          <w:szCs w:val="21"/>
          <w:highlight w:val="none"/>
          <w:lang w:val="en-US" w:eastAsia="zh-CN"/>
        </w:rPr>
        <w:t>应携带授权委托书准时参加启封会议。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本次采购公告在</w:t>
      </w:r>
      <w:r>
        <w:rPr>
          <w:rFonts w:hint="eastAsia" w:ascii="宋体" w:hAnsi="宋体" w:eastAsia="宋体" w:cs="宋体"/>
          <w:color w:val="auto"/>
          <w:sz w:val="21"/>
          <w:szCs w:val="21"/>
          <w:highlight w:val="none"/>
          <w:lang w:val="en-US" w:eastAsia="zh-CN"/>
        </w:rPr>
        <w:t>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eastAsia" w:ascii="宋体" w:hAnsi="宋体" w:eastAsia="宋体" w:cs="宋体"/>
          <w:bCs w:val="0"/>
          <w:color w:val="auto"/>
          <w:sz w:val="21"/>
          <w:szCs w:val="21"/>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r>
        <w:rPr>
          <w:rFonts w:hint="eastAsia" w:ascii="宋体" w:hAnsi="宋体" w:eastAsia="宋体" w:cs="宋体"/>
          <w:color w:val="auto"/>
          <w:sz w:val="21"/>
          <w:szCs w:val="21"/>
          <w:highlight w:val="none"/>
          <w:u w:val="single"/>
          <w:lang w:val="en-US" w:eastAsia="zh-CN"/>
        </w:rPr>
        <w:t xml:space="preserve"> 安徽交运集团汽车销售有限公司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合肥市胜利路35号 交通饭店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230011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lang w:val="en-US" w:eastAsia="zh-CN"/>
        </w:rPr>
        <w:t xml:space="preserve"> 张倩 </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0551-64299058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u w:val="single"/>
          <w:lang w:val="en-US" w:eastAsia="zh-CN"/>
        </w:rPr>
        <w:t xml:space="preserve"> ahjyxs@163.com </w:t>
      </w:r>
      <w:r>
        <w:rPr>
          <w:rFonts w:hint="eastAsia" w:ascii="宋体" w:hAnsi="宋体" w:eastAsia="宋体" w:cs="宋体"/>
          <w:color w:val="auto"/>
          <w:sz w:val="21"/>
          <w:szCs w:val="21"/>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14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rPr>
        <w:t>（9）响应参数表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26656988"/>
      <w:bookmarkStart w:id="63" w:name="_Toc14201257"/>
      <w:bookmarkStart w:id="64" w:name="_Toc906772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9067731"/>
      <w:bookmarkStart w:id="68" w:name="_Toc26656994"/>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cs="宋体"/>
                <w:sz w:val="21"/>
                <w:szCs w:val="21"/>
                <w:lang w:val="en-US" w:eastAsia="zh-CN"/>
              </w:rPr>
              <w:t xml:space="preserve">不含税价：元，增值税额：元 </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肆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bl>
      <w:tblPr>
        <w:tblStyle w:val="12"/>
        <w:tblW w:w="83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2649"/>
        <w:gridCol w:w="4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34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参数配置</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t xml:space="preserve">Std为标配 </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域虎7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4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柴油国六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34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自动挡长货箱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4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4X4 GL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外观尺寸</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5638×1905×1835(mm)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货箱尺寸</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 1820×1475×500(mm)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发动机参数</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发动机</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2.0PUMA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排量(cc)</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发动机额定功率(kW/rpm) </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发动机最大扭矩(N·m/rpm)</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压缩比</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油箱容积(L)</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操控配置</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排挡形式</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8AT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前悬</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双横臂螺旋弹簧独立悬架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后悬</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钢板弹簧非独立悬架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转向系统</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齿轮齿条式，溃缩式转向管柱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四轮碟刹</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分时四驱+4L档+4H档</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245/70 R17</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液压助力转向</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外装</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电动车窗</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电动后视镜</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大灯未关提醒</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LED后视镜转向灯</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LED日间行车灯</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自动感应大灯</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前大灯延时关闭</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高位刹车灯</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前雾灯</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单色金属漆</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前保险杠</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前保格栅镀铬</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后保险杠</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铝合金轮毂</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钢轮轮毂备胎</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镀铬外把手</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镀铬内把手</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间歇雨刮</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感应雨刮</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货箱耐磨胶涂层</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货厢绑绳钩</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后货厢护栏(SMC)</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圆形货箱</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轮眉</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侧踏板</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后拖车钩</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气动撑杆</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10寸彩显(MP5)</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收音机</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4个扬声器(2高2低)</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蓝牙</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无钥匙进入及一键启动</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前排USB充电口</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Style w:val="26"/>
                <w:rFonts w:hint="eastAsia" w:ascii="宋体" w:hAnsi="宋体" w:eastAsia="宋体" w:cs="宋体"/>
                <w:b w:val="0"/>
                <w:bCs w:val="0"/>
                <w:sz w:val="21"/>
                <w:szCs w:val="21"/>
                <w:lang w:val="en-US" w:eastAsia="zh-CN" w:bidi="ar"/>
              </w:rPr>
              <w:t>前排电源充电口（12V）</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车内信息显示</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定速巡航</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可调方向盘(两向)</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皮质方向盘</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多功能方向盘(音响控制)</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方向盘换挡拨片</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电动窗</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车窗遥控开启(升降)</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中控锁及遥控器(钥匙片)</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行车自动落锁</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皮质座椅</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驾驶座手动四向可调</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副驾驶座手动四向可调</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头枕高度可调</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A柱扶手</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副驾驶可折叠扶手</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后排乘客可折叠扶手</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中央杂物箱</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植绒地毯</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防眩目内后视镜</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电动空调</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空气调节(花粉和PM2.5过滤)</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自发光仪表盘</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3.5寸点阵屏仪表</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阅读灯</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中顶灯</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手机互联</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安全配置</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手刹解除声音提醒</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机械手刹 </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发动机防盗</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儿童锁</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倒车雷达</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倒车影像(高清)</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倒车距离显示(仪表盘显示)</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ABS+EBD</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换挡提醒</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驾驶座限力三点式安全带</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副驾驶座限力三点式安全带</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后排左右两侧三点式安全带，中间两点式安全带</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驾驶员安全带未系提醒</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驾驶座安全带指示灯</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胎压监测</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120km/h超速报警</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驾驶员安全气囊</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1"/>
                <w:szCs w:val="21"/>
                <w:u w:val="none"/>
              </w:rPr>
            </w:pP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副驾驶座安全气囊</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Std </w:t>
            </w:r>
          </w:p>
        </w:tc>
      </w:tr>
    </w:tbl>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r>
        <w:rPr>
          <w:rFonts w:hint="eastAsia" w:ascii="Times New Roman" w:hAnsi="Times New Roman" w:eastAsia="宋体" w:cs="Times New Roman"/>
          <w:color w:val="auto"/>
          <w:highlight w:val="none"/>
          <w:lang w:val="en-US" w:eastAsia="zh-CN"/>
        </w:rPr>
        <w:t>（2）</w:t>
      </w:r>
    </w:p>
    <w:tbl>
      <w:tblPr>
        <w:tblStyle w:val="12"/>
        <w:tblW w:w="8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55"/>
        <w:gridCol w:w="4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8363" w:type="dxa"/>
            <w:gridSpan w:val="2"/>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333333"/>
                <w:sz w:val="21"/>
                <w:szCs w:val="21"/>
                <w:u w:val="none"/>
                <w:lang w:val="en-US" w:eastAsia="zh-CN"/>
              </w:rPr>
            </w:pPr>
            <w:r>
              <w:rPr>
                <w:rFonts w:hint="eastAsia" w:ascii="宋体" w:hAnsi="宋体" w:eastAsia="宋体" w:cs="宋体"/>
                <w:b w:val="0"/>
                <w:bCs w:val="0"/>
                <w:i w:val="0"/>
                <w:iCs w:val="0"/>
                <w:color w:val="333333"/>
                <w:sz w:val="21"/>
                <w:szCs w:val="21"/>
                <w:u w:val="none"/>
                <w:lang w:val="en-US" w:eastAsia="zh-CN"/>
              </w:rPr>
              <w:t>广汽传祺M8 领秀 390T豪华版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长 × 宽 × 高(mm)</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5089 × 1884 × 1822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轴距(mm)</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油箱容积(L)</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整备质量(kg)</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发动机</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390T缸内直喷涡轮增压发动机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主要发动机技术</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全新350bar高压缸内直喷技术、电控可变机油泵技术、低惯量E-Turbo增压技术、GCCS燃烧控制技术、DCVVT双连续可变气门正时技术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排量(cc)</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最大功率/转速(kW/rpm)</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185/5250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最大扭矩/转速(Nm/rpm)</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390/1750-4000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变速箱形式</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爱信8速变速箱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综合工况油耗（L/100km）</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悬挂系统</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前麦弗逊式独立悬挂/后多连杆独立悬挂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制动系统</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前通风盘式/后盘式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转向系统</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EPS电动助力转向系统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排放标准</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矩阵式LED前大灯(带高度自动调节/延时关闭/未关警示)</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流线光导LED日间行车灯</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17英寸铝合金轮辋 + 225/60 R17轮胎</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内藏式防夹电动天窗</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驾驶座椅电动6向调节</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二排尊享独立头等舱座椅</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等离子森林氧吧空气净化系统</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前排双安全气囊+前排侧安全气囊</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博世ESP 9.3车辆电子稳定控制系统</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博世ABS防抱死制动系统</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博世EBD电子制动力分配系统</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博世TCS牵引力控制系统</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博世HBA紧急制动辅助系统</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4探头后倒车雷达</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10.1英寸全彩液晶中控大屏</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前排及二排USB充电接口</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6扬声器高保真音响</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55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手动双侧滑移门</w:t>
            </w:r>
          </w:p>
        </w:tc>
        <w:tc>
          <w:tcPr>
            <w:tcW w:w="48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rPr>
              <w:t>●</w:t>
            </w:r>
          </w:p>
        </w:tc>
      </w:tr>
    </w:tbl>
    <w:p>
      <w:pPr>
        <w:rPr>
          <w:rFonts w:hint="default"/>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（3）</w:t>
      </w:r>
    </w:p>
    <w:tbl>
      <w:tblPr>
        <w:tblStyle w:val="12"/>
        <w:tblW w:w="8355" w:type="dxa"/>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9"/>
        <w:gridCol w:w="7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车型</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XML6887J16Z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发动机</w:t>
            </w:r>
          </w:p>
        </w:tc>
        <w:tc>
          <w:tcPr>
            <w:tcW w:w="7116"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YCS06245-62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离合器</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变速器</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綦江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前、后桥</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前4.2T后8T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5"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制动系统</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前盘后盘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转向器</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国产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缓速器</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电涡流缓速器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悬挂系统</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ABS</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ABS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空调</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松芝非独立顶置式空调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暖风</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非独立3只壁挂式散热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轮胎</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 xml:space="preserve"> 9R22.5无内胎子午线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乘客门</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气动外摆门，带遥控锁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座位数</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侧窗玻璃</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最后两侧为内置推拉式，有外推式应急窗，其余全封闭钢化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CAN总线</w:t>
            </w:r>
          </w:p>
        </w:tc>
        <w:tc>
          <w:tcPr>
            <w:tcW w:w="7116"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三级CAN总线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倒车监视</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彩色倒车监视器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2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行李舱</w:t>
            </w:r>
          </w:p>
        </w:tc>
        <w:tc>
          <w:tcPr>
            <w:tcW w:w="71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贯通式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39"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其他配置</w:t>
            </w:r>
          </w:p>
        </w:tc>
        <w:tc>
          <w:tcPr>
            <w:tcW w:w="711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spacing w:after="200" w:afterAutospacing="0"/>
              <w:jc w:val="both"/>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前胎压报警、发动机舱自动灭火装置、座椅可调、后视镜电动除霜、司机椅机械减震、双幅遮阳帘、全车窗帘、上掀式铝合金、带换气扇天窗、安全带伸缩式，乘客佩戴提醒装置 、木纹地板革、行车记录仪、GPS、平台管理及四路监控、高位刹车灯、电/气喇叭</w:t>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br w:type="textWrapping"/>
            </w:r>
            <w:r>
              <w:rPr>
                <w:rFonts w:hint="eastAsia" w:ascii="宋体" w:hAnsi="宋体" w:eastAsia="宋体" w:cs="宋体"/>
                <w:b w:val="0"/>
                <w:bCs w:val="0"/>
                <w:i w:val="0"/>
                <w:iCs w:val="0"/>
                <w:color w:val="000000"/>
                <w:kern w:val="0"/>
                <w:sz w:val="21"/>
                <w:szCs w:val="21"/>
                <w:u w:val="none"/>
                <w:lang w:val="en-US" w:eastAsia="zh-CN" w:bidi="ar"/>
              </w:rPr>
              <w:br w:type="textWrapping"/>
            </w:r>
          </w:p>
        </w:tc>
      </w:tr>
    </w:tbl>
    <w:p>
      <w:pPr>
        <w:pStyle w:val="2"/>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090"/>
        <w:gridCol w:w="945"/>
        <w:gridCol w:w="960"/>
        <w:gridCol w:w="1125"/>
        <w:gridCol w:w="1248"/>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68"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3090" w:type="dxa"/>
            <w:noWrap w:val="0"/>
            <w:vAlign w:val="center"/>
          </w:tcPr>
          <w:p>
            <w:pPr>
              <w:ind w:firstLine="0" w:firstLineChars="0"/>
              <w:jc w:val="center"/>
              <w:rPr>
                <w:sz w:val="30"/>
                <w:szCs w:val="30"/>
              </w:rPr>
            </w:pPr>
            <w:r>
              <w:rPr>
                <w:rFonts w:hint="eastAsia"/>
                <w:sz w:val="30"/>
                <w:szCs w:val="30"/>
              </w:rPr>
              <w:t>品牌型号</w:t>
            </w:r>
          </w:p>
        </w:tc>
        <w:tc>
          <w:tcPr>
            <w:tcW w:w="945" w:type="dxa"/>
            <w:noWrap w:val="0"/>
            <w:vAlign w:val="center"/>
          </w:tcPr>
          <w:p>
            <w:pPr>
              <w:ind w:firstLine="0" w:firstLineChars="0"/>
              <w:jc w:val="center"/>
              <w:rPr>
                <w:sz w:val="30"/>
                <w:szCs w:val="30"/>
              </w:rPr>
            </w:pPr>
            <w:r>
              <w:rPr>
                <w:rFonts w:hint="eastAsia"/>
                <w:sz w:val="30"/>
                <w:szCs w:val="30"/>
              </w:rPr>
              <w:t>单位</w:t>
            </w:r>
          </w:p>
        </w:tc>
        <w:tc>
          <w:tcPr>
            <w:tcW w:w="960" w:type="dxa"/>
            <w:noWrap w:val="0"/>
            <w:vAlign w:val="center"/>
          </w:tcPr>
          <w:p>
            <w:pPr>
              <w:ind w:firstLine="0" w:firstLineChars="0"/>
              <w:jc w:val="center"/>
              <w:rPr>
                <w:sz w:val="30"/>
                <w:szCs w:val="30"/>
              </w:rPr>
            </w:pPr>
            <w:r>
              <w:rPr>
                <w:rFonts w:hint="eastAsia"/>
                <w:sz w:val="30"/>
                <w:szCs w:val="30"/>
              </w:rPr>
              <w:t>数量</w:t>
            </w:r>
          </w:p>
        </w:tc>
        <w:tc>
          <w:tcPr>
            <w:tcW w:w="112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248" w:type="dxa"/>
            <w:noWrap w:val="0"/>
            <w:vAlign w:val="center"/>
          </w:tcPr>
          <w:p>
            <w:pPr>
              <w:ind w:firstLine="0" w:firstLineChars="0"/>
              <w:jc w:val="center"/>
              <w:rPr>
                <w:rFonts w:hint="eastAsia" w:eastAsiaTheme="minorEastAsia"/>
                <w:sz w:val="30"/>
                <w:szCs w:val="30"/>
                <w:lang w:eastAsia="zh-CN"/>
              </w:rPr>
            </w:pPr>
            <w:r>
              <w:rPr>
                <w:rFonts w:hint="eastAsia"/>
                <w:sz w:val="30"/>
                <w:szCs w:val="30"/>
              </w:rPr>
              <w:t>单价</w:t>
            </w:r>
            <w:r>
              <w:rPr>
                <w:rFonts w:hint="eastAsia"/>
                <w:sz w:val="30"/>
                <w:szCs w:val="30"/>
                <w:lang w:eastAsia="zh-CN"/>
              </w:rPr>
              <w:t>（元）</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bookmarkStart w:id="93" w:name="_Toc9834_WPSOffice_Level1"/>
            <w:r>
              <w:rPr>
                <w:rFonts w:hint="eastAsia" w:ascii="宋体" w:hAnsi="宋体" w:eastAsia="宋体" w:cs="宋体"/>
                <w:i w:val="0"/>
                <w:iCs w:val="0"/>
                <w:color w:val="000000"/>
                <w:kern w:val="0"/>
                <w:sz w:val="21"/>
                <w:szCs w:val="21"/>
                <w:u w:val="none"/>
                <w:lang w:val="en-US" w:eastAsia="zh-CN" w:bidi="ar"/>
              </w:rPr>
              <w:t>1</w:t>
            </w:r>
          </w:p>
        </w:tc>
        <w:tc>
          <w:tcPr>
            <w:tcW w:w="309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江铃域虎7 2023款 2.0T柴油自动四驱舒享版长轴国VI JX4D20A6L</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辆</w:t>
            </w:r>
          </w:p>
        </w:tc>
        <w:tc>
          <w:tcPr>
            <w:tcW w:w="96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制式图案</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09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2023款广汽传祺领秀系列M8 390T豪华版黑色</w:t>
            </w:r>
          </w:p>
        </w:tc>
        <w:tc>
          <w:tcPr>
            <w:tcW w:w="94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辆</w:t>
            </w:r>
          </w:p>
        </w:tc>
        <w:tc>
          <w:tcPr>
            <w:tcW w:w="96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黑  色</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3090"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厦门金旅XML6887J16Z(35+1)柴油版</w:t>
            </w:r>
          </w:p>
        </w:tc>
        <w:tc>
          <w:tcPr>
            <w:tcW w:w="94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辆</w:t>
            </w:r>
          </w:p>
        </w:tc>
        <w:tc>
          <w:tcPr>
            <w:tcW w:w="960"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银灰色</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pStyle w:val="2"/>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lang w:val="en-US" w:eastAsia="zh-CN"/>
        </w:rPr>
      </w:pPr>
      <w:r>
        <w:rPr>
          <w:rFonts w:hint="eastAsia"/>
          <w:b/>
          <w:bCs/>
          <w:color w:val="auto"/>
        </w:rPr>
        <w:t>（9）响应参数表</w:t>
      </w:r>
      <w:r>
        <w:rPr>
          <w:rFonts w:hint="eastAsia"/>
          <w:b/>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10</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numPr>
          <w:ilvl w:val="0"/>
          <w:numId w:val="4"/>
        </w:num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pStyle w:val="2"/>
        <w:numPr>
          <w:ilvl w:val="0"/>
          <w:numId w:val="0"/>
        </w:numPr>
        <w:rPr>
          <w:rFonts w:hint="default"/>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年龄：</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pStyle w:val="2"/>
        <w:rPr>
          <w:rFonts w:hint="default"/>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9768_WPSOffice_Level2"/>
      <w:bookmarkStart w:id="11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32085_WPSOffice_Level1"/>
      <w:bookmarkStart w:id="119" w:name="_Toc24567_WPSOffice_Level1"/>
      <w:bookmarkStart w:id="120" w:name="_Toc15186_WPSOffice_Level1"/>
      <w:bookmarkStart w:id="121" w:name="_Toc24530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22815_WPSOffice_Level1"/>
      <w:bookmarkStart w:id="124" w:name="_Toc7738_WPSOffice_Level1"/>
      <w:bookmarkStart w:id="125" w:name="_Toc31445_WPSOffice_Level1"/>
      <w:bookmarkStart w:id="126" w:name="_Toc23545_WPSOffice_Level1"/>
      <w:bookmarkStart w:id="127"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7600_WPSOffice_Level2"/>
      <w:bookmarkStart w:id="129"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5072_WPSOffice_Level1"/>
      <w:bookmarkStart w:id="132" w:name="_Toc18547_WPSOffice_Level1"/>
      <w:bookmarkStart w:id="133" w:name="_Toc19004_WPSOffice_Level1"/>
      <w:bookmarkStart w:id="134"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12019_WPSOffice_Level1"/>
      <w:bookmarkStart w:id="136" w:name="_Toc30712_WPSOffice_Level1"/>
      <w:bookmarkStart w:id="137" w:name="_Toc3893_WPSOffice_Level1"/>
      <w:bookmarkStart w:id="138" w:name="_Toc9267_WPSOffice_Level1"/>
      <w:bookmarkStart w:id="139"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九、响应参数表</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十、其他材料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25BFC"/>
    <w:rsid w:val="001D799F"/>
    <w:rsid w:val="00210A1D"/>
    <w:rsid w:val="00272678"/>
    <w:rsid w:val="004D266E"/>
    <w:rsid w:val="009130D0"/>
    <w:rsid w:val="00AD1B4E"/>
    <w:rsid w:val="00BA1CAE"/>
    <w:rsid w:val="00D60F2E"/>
    <w:rsid w:val="00EB2C48"/>
    <w:rsid w:val="00F56741"/>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44385"/>
    <w:rsid w:val="03380757"/>
    <w:rsid w:val="033E575A"/>
    <w:rsid w:val="035042AD"/>
    <w:rsid w:val="035E0DBD"/>
    <w:rsid w:val="038226D6"/>
    <w:rsid w:val="03A33236"/>
    <w:rsid w:val="03B141EB"/>
    <w:rsid w:val="03C834BA"/>
    <w:rsid w:val="03CF1E15"/>
    <w:rsid w:val="03DF68F4"/>
    <w:rsid w:val="03ED0A2F"/>
    <w:rsid w:val="040E4592"/>
    <w:rsid w:val="04211E08"/>
    <w:rsid w:val="0428355D"/>
    <w:rsid w:val="042C3B1F"/>
    <w:rsid w:val="04457667"/>
    <w:rsid w:val="04494E3A"/>
    <w:rsid w:val="04497378"/>
    <w:rsid w:val="045A4B7B"/>
    <w:rsid w:val="04642508"/>
    <w:rsid w:val="047A7331"/>
    <w:rsid w:val="04A248E7"/>
    <w:rsid w:val="04F42FC6"/>
    <w:rsid w:val="04FE2BE7"/>
    <w:rsid w:val="05175643"/>
    <w:rsid w:val="05267A29"/>
    <w:rsid w:val="052B12A4"/>
    <w:rsid w:val="053C0C8A"/>
    <w:rsid w:val="05435747"/>
    <w:rsid w:val="057D77E1"/>
    <w:rsid w:val="05AC3216"/>
    <w:rsid w:val="05AE7642"/>
    <w:rsid w:val="05B33779"/>
    <w:rsid w:val="05CB4EDA"/>
    <w:rsid w:val="05D41D45"/>
    <w:rsid w:val="06233674"/>
    <w:rsid w:val="064F44F5"/>
    <w:rsid w:val="06750697"/>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AC6280"/>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DE4E7E"/>
    <w:rsid w:val="0FEE5277"/>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E61BE0"/>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C659B5"/>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81794F"/>
    <w:rsid w:val="17A72143"/>
    <w:rsid w:val="17D41059"/>
    <w:rsid w:val="17F9165D"/>
    <w:rsid w:val="17FB3776"/>
    <w:rsid w:val="18047A16"/>
    <w:rsid w:val="181C5AFE"/>
    <w:rsid w:val="18262EDC"/>
    <w:rsid w:val="183F653D"/>
    <w:rsid w:val="184B770B"/>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F6219E"/>
    <w:rsid w:val="1D011989"/>
    <w:rsid w:val="1D1C4C9A"/>
    <w:rsid w:val="1D4318D2"/>
    <w:rsid w:val="1D435A83"/>
    <w:rsid w:val="1D502683"/>
    <w:rsid w:val="1D582C93"/>
    <w:rsid w:val="1D5E1C8E"/>
    <w:rsid w:val="1D6A0A81"/>
    <w:rsid w:val="1D766BDC"/>
    <w:rsid w:val="1D862F93"/>
    <w:rsid w:val="1DC31AF1"/>
    <w:rsid w:val="1DCA0187"/>
    <w:rsid w:val="1DEE3EE6"/>
    <w:rsid w:val="1DEF15E5"/>
    <w:rsid w:val="1E4435A6"/>
    <w:rsid w:val="1E674B72"/>
    <w:rsid w:val="1E757DC6"/>
    <w:rsid w:val="1E997C45"/>
    <w:rsid w:val="1EB01493"/>
    <w:rsid w:val="1EB45B84"/>
    <w:rsid w:val="1EBA2EF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93178"/>
    <w:rsid w:val="202E73DC"/>
    <w:rsid w:val="20350D4E"/>
    <w:rsid w:val="205B3A40"/>
    <w:rsid w:val="207A031A"/>
    <w:rsid w:val="209239FD"/>
    <w:rsid w:val="20931661"/>
    <w:rsid w:val="209A4709"/>
    <w:rsid w:val="20A32AD4"/>
    <w:rsid w:val="20B42C68"/>
    <w:rsid w:val="20C14537"/>
    <w:rsid w:val="20D03B7B"/>
    <w:rsid w:val="20D63C91"/>
    <w:rsid w:val="20F36B91"/>
    <w:rsid w:val="20F743F3"/>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FC1CC5"/>
    <w:rsid w:val="220F22ED"/>
    <w:rsid w:val="22105521"/>
    <w:rsid w:val="22290B71"/>
    <w:rsid w:val="22711268"/>
    <w:rsid w:val="228C37EE"/>
    <w:rsid w:val="228C6100"/>
    <w:rsid w:val="22A75A54"/>
    <w:rsid w:val="22AF24B4"/>
    <w:rsid w:val="22C75FB3"/>
    <w:rsid w:val="23201794"/>
    <w:rsid w:val="23202A87"/>
    <w:rsid w:val="23221CE5"/>
    <w:rsid w:val="23291D55"/>
    <w:rsid w:val="23331629"/>
    <w:rsid w:val="23470EA4"/>
    <w:rsid w:val="23533555"/>
    <w:rsid w:val="235C166E"/>
    <w:rsid w:val="23607DE2"/>
    <w:rsid w:val="2386246B"/>
    <w:rsid w:val="23A42CCD"/>
    <w:rsid w:val="23B03575"/>
    <w:rsid w:val="23B5629D"/>
    <w:rsid w:val="23C26E54"/>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25659"/>
    <w:rsid w:val="252C2973"/>
    <w:rsid w:val="2536191C"/>
    <w:rsid w:val="2537405D"/>
    <w:rsid w:val="25374EF4"/>
    <w:rsid w:val="25AF4E68"/>
    <w:rsid w:val="25C23D6B"/>
    <w:rsid w:val="25C96113"/>
    <w:rsid w:val="25D12068"/>
    <w:rsid w:val="25D376ED"/>
    <w:rsid w:val="25E42F4C"/>
    <w:rsid w:val="25FB3A5A"/>
    <w:rsid w:val="26113D3D"/>
    <w:rsid w:val="262B2929"/>
    <w:rsid w:val="262D3499"/>
    <w:rsid w:val="26505959"/>
    <w:rsid w:val="267D6C16"/>
    <w:rsid w:val="26915AB0"/>
    <w:rsid w:val="26AC54AE"/>
    <w:rsid w:val="26AE35E3"/>
    <w:rsid w:val="26CC5821"/>
    <w:rsid w:val="27040806"/>
    <w:rsid w:val="270A6B81"/>
    <w:rsid w:val="27224050"/>
    <w:rsid w:val="272D2D58"/>
    <w:rsid w:val="27544F2C"/>
    <w:rsid w:val="27573233"/>
    <w:rsid w:val="27656C35"/>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AED63FF"/>
    <w:rsid w:val="2AF07C9E"/>
    <w:rsid w:val="2B0272F2"/>
    <w:rsid w:val="2B1C6134"/>
    <w:rsid w:val="2B416F31"/>
    <w:rsid w:val="2B547EAB"/>
    <w:rsid w:val="2B752198"/>
    <w:rsid w:val="2BA03472"/>
    <w:rsid w:val="2BE307A7"/>
    <w:rsid w:val="2BE702F2"/>
    <w:rsid w:val="2C2358E3"/>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47051C"/>
    <w:rsid w:val="2E5113E2"/>
    <w:rsid w:val="2E704C0F"/>
    <w:rsid w:val="2E731311"/>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9D241F"/>
    <w:rsid w:val="34CD11F9"/>
    <w:rsid w:val="34DD44E6"/>
    <w:rsid w:val="35091493"/>
    <w:rsid w:val="351153E0"/>
    <w:rsid w:val="353335A8"/>
    <w:rsid w:val="35775243"/>
    <w:rsid w:val="357F680D"/>
    <w:rsid w:val="35841069"/>
    <w:rsid w:val="358620D9"/>
    <w:rsid w:val="35917F75"/>
    <w:rsid w:val="35C87EEC"/>
    <w:rsid w:val="35F02805"/>
    <w:rsid w:val="36341386"/>
    <w:rsid w:val="36343134"/>
    <w:rsid w:val="36351036"/>
    <w:rsid w:val="366828AD"/>
    <w:rsid w:val="368558B3"/>
    <w:rsid w:val="36876E6A"/>
    <w:rsid w:val="36980DD0"/>
    <w:rsid w:val="36B84F47"/>
    <w:rsid w:val="36C0156D"/>
    <w:rsid w:val="36C13293"/>
    <w:rsid w:val="36CF4BC1"/>
    <w:rsid w:val="36DD557A"/>
    <w:rsid w:val="36F23D6A"/>
    <w:rsid w:val="36F7295B"/>
    <w:rsid w:val="37022808"/>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BE774B"/>
    <w:rsid w:val="3BCA36FC"/>
    <w:rsid w:val="3BDB75C3"/>
    <w:rsid w:val="3BFA097C"/>
    <w:rsid w:val="3BFB140F"/>
    <w:rsid w:val="3C276F93"/>
    <w:rsid w:val="3C4A37EC"/>
    <w:rsid w:val="3C6B2863"/>
    <w:rsid w:val="3C7E046A"/>
    <w:rsid w:val="3CA54D8C"/>
    <w:rsid w:val="3CC669C0"/>
    <w:rsid w:val="3CCC78C1"/>
    <w:rsid w:val="3D191420"/>
    <w:rsid w:val="3D4A7CCA"/>
    <w:rsid w:val="3D85696B"/>
    <w:rsid w:val="3DB644C5"/>
    <w:rsid w:val="3DC64303"/>
    <w:rsid w:val="3DFD18E3"/>
    <w:rsid w:val="3E234CC4"/>
    <w:rsid w:val="3E31701C"/>
    <w:rsid w:val="3E5527E2"/>
    <w:rsid w:val="3E556F89"/>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AB6CB7"/>
    <w:rsid w:val="44CF75B8"/>
    <w:rsid w:val="44F46B32"/>
    <w:rsid w:val="45093F8F"/>
    <w:rsid w:val="450C5377"/>
    <w:rsid w:val="45163319"/>
    <w:rsid w:val="451D378A"/>
    <w:rsid w:val="451D5F36"/>
    <w:rsid w:val="45341E5B"/>
    <w:rsid w:val="454A41A9"/>
    <w:rsid w:val="454F1443"/>
    <w:rsid w:val="456B64DA"/>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E55EA9"/>
    <w:rsid w:val="46E903F6"/>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196BFC"/>
    <w:rsid w:val="4C547C35"/>
    <w:rsid w:val="4C9849BC"/>
    <w:rsid w:val="4CDC10F5"/>
    <w:rsid w:val="4CE67327"/>
    <w:rsid w:val="4CEB61EE"/>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EE5452"/>
    <w:rsid w:val="5039019E"/>
    <w:rsid w:val="50527900"/>
    <w:rsid w:val="5065178E"/>
    <w:rsid w:val="50695D0B"/>
    <w:rsid w:val="5099030C"/>
    <w:rsid w:val="50F639B0"/>
    <w:rsid w:val="51117EE4"/>
    <w:rsid w:val="5126104F"/>
    <w:rsid w:val="512B60B4"/>
    <w:rsid w:val="513118E7"/>
    <w:rsid w:val="51694722"/>
    <w:rsid w:val="517F61AE"/>
    <w:rsid w:val="51995C82"/>
    <w:rsid w:val="51A0391C"/>
    <w:rsid w:val="51B556AE"/>
    <w:rsid w:val="51C621E0"/>
    <w:rsid w:val="51D05EF0"/>
    <w:rsid w:val="51D92A34"/>
    <w:rsid w:val="51F6040A"/>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CE57AE"/>
    <w:rsid w:val="55F30092"/>
    <w:rsid w:val="55F92F01"/>
    <w:rsid w:val="562927CE"/>
    <w:rsid w:val="56332CEF"/>
    <w:rsid w:val="56D51695"/>
    <w:rsid w:val="56E01E7C"/>
    <w:rsid w:val="56FF2C87"/>
    <w:rsid w:val="57083261"/>
    <w:rsid w:val="576725D2"/>
    <w:rsid w:val="576C4D9E"/>
    <w:rsid w:val="57735468"/>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411CCC"/>
    <w:rsid w:val="5B505F2C"/>
    <w:rsid w:val="5B520346"/>
    <w:rsid w:val="5B53605F"/>
    <w:rsid w:val="5B811F6C"/>
    <w:rsid w:val="5B966550"/>
    <w:rsid w:val="5BB81586"/>
    <w:rsid w:val="5BCF6F3C"/>
    <w:rsid w:val="5BD55463"/>
    <w:rsid w:val="5BD64EC0"/>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746342"/>
    <w:rsid w:val="5E85744A"/>
    <w:rsid w:val="5E8D3F43"/>
    <w:rsid w:val="5E9D79FE"/>
    <w:rsid w:val="5EA07701"/>
    <w:rsid w:val="5EA85BE5"/>
    <w:rsid w:val="5EB01642"/>
    <w:rsid w:val="5EB75285"/>
    <w:rsid w:val="5F341672"/>
    <w:rsid w:val="5F530CCB"/>
    <w:rsid w:val="5F8538FA"/>
    <w:rsid w:val="5FCA04E2"/>
    <w:rsid w:val="5FEB2D87"/>
    <w:rsid w:val="5FEC48FC"/>
    <w:rsid w:val="5FF92694"/>
    <w:rsid w:val="60094922"/>
    <w:rsid w:val="600E1AEF"/>
    <w:rsid w:val="600E2211"/>
    <w:rsid w:val="601A2B45"/>
    <w:rsid w:val="60247FFD"/>
    <w:rsid w:val="602F511B"/>
    <w:rsid w:val="604A5077"/>
    <w:rsid w:val="605F2621"/>
    <w:rsid w:val="60A14466"/>
    <w:rsid w:val="60AE1BB1"/>
    <w:rsid w:val="60AF1518"/>
    <w:rsid w:val="60DD22F5"/>
    <w:rsid w:val="60E42733"/>
    <w:rsid w:val="6107582C"/>
    <w:rsid w:val="6153428A"/>
    <w:rsid w:val="617C7F2C"/>
    <w:rsid w:val="61980250"/>
    <w:rsid w:val="61AD3C17"/>
    <w:rsid w:val="61D740F7"/>
    <w:rsid w:val="6228683D"/>
    <w:rsid w:val="62756CE9"/>
    <w:rsid w:val="6294722E"/>
    <w:rsid w:val="62B660C6"/>
    <w:rsid w:val="62BE1E54"/>
    <w:rsid w:val="62E56056"/>
    <w:rsid w:val="62FE3F08"/>
    <w:rsid w:val="63023C14"/>
    <w:rsid w:val="63295801"/>
    <w:rsid w:val="63416D0D"/>
    <w:rsid w:val="63776804"/>
    <w:rsid w:val="638B6757"/>
    <w:rsid w:val="639E2905"/>
    <w:rsid w:val="63E266D5"/>
    <w:rsid w:val="63E91B17"/>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14F7C"/>
    <w:rsid w:val="65440D8C"/>
    <w:rsid w:val="6564571B"/>
    <w:rsid w:val="65656A70"/>
    <w:rsid w:val="6574328C"/>
    <w:rsid w:val="658D79B1"/>
    <w:rsid w:val="65921AA2"/>
    <w:rsid w:val="65B5189C"/>
    <w:rsid w:val="65C073EA"/>
    <w:rsid w:val="65E06B45"/>
    <w:rsid w:val="664E5351"/>
    <w:rsid w:val="66503496"/>
    <w:rsid w:val="66595BE2"/>
    <w:rsid w:val="668B6FEC"/>
    <w:rsid w:val="669453A6"/>
    <w:rsid w:val="66A31B35"/>
    <w:rsid w:val="66AE3981"/>
    <w:rsid w:val="66EC3A82"/>
    <w:rsid w:val="66ED6329"/>
    <w:rsid w:val="67112E9A"/>
    <w:rsid w:val="6721791E"/>
    <w:rsid w:val="67271ECB"/>
    <w:rsid w:val="67343B0C"/>
    <w:rsid w:val="674943E2"/>
    <w:rsid w:val="6777089F"/>
    <w:rsid w:val="67C76B90"/>
    <w:rsid w:val="67CA34BA"/>
    <w:rsid w:val="6817492F"/>
    <w:rsid w:val="6841155D"/>
    <w:rsid w:val="68733E51"/>
    <w:rsid w:val="68920D3E"/>
    <w:rsid w:val="689E075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F060E0B"/>
    <w:rsid w:val="6F5959E9"/>
    <w:rsid w:val="6F7D4D72"/>
    <w:rsid w:val="6F7E1F74"/>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5077C2"/>
    <w:rsid w:val="73614861"/>
    <w:rsid w:val="73B65107"/>
    <w:rsid w:val="73CD1828"/>
    <w:rsid w:val="73E62FB9"/>
    <w:rsid w:val="73E9784B"/>
    <w:rsid w:val="73EE7FAE"/>
    <w:rsid w:val="73F0718E"/>
    <w:rsid w:val="73FB6A64"/>
    <w:rsid w:val="74070CA0"/>
    <w:rsid w:val="74534933"/>
    <w:rsid w:val="74700DEC"/>
    <w:rsid w:val="747B5DF7"/>
    <w:rsid w:val="7481099D"/>
    <w:rsid w:val="748E118B"/>
    <w:rsid w:val="74B57A32"/>
    <w:rsid w:val="74D64864"/>
    <w:rsid w:val="74E16D8B"/>
    <w:rsid w:val="74E6272A"/>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6B67"/>
    <w:rsid w:val="765F6F55"/>
    <w:rsid w:val="7662726E"/>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C4A60"/>
    <w:rsid w:val="7C366D83"/>
    <w:rsid w:val="7C384135"/>
    <w:rsid w:val="7CAE35FB"/>
    <w:rsid w:val="7CB163F4"/>
    <w:rsid w:val="7CB84091"/>
    <w:rsid w:val="7CD4053F"/>
    <w:rsid w:val="7CE00658"/>
    <w:rsid w:val="7CE359F5"/>
    <w:rsid w:val="7D3B6CFC"/>
    <w:rsid w:val="7D3C710B"/>
    <w:rsid w:val="7D646F8A"/>
    <w:rsid w:val="7D650780"/>
    <w:rsid w:val="7D796EE5"/>
    <w:rsid w:val="7D947886"/>
    <w:rsid w:val="7DBD1010"/>
    <w:rsid w:val="7DE91C2E"/>
    <w:rsid w:val="7DF144DE"/>
    <w:rsid w:val="7DFA36D3"/>
    <w:rsid w:val="7E0247C5"/>
    <w:rsid w:val="7E2146D8"/>
    <w:rsid w:val="7E3D10ED"/>
    <w:rsid w:val="7E70004F"/>
    <w:rsid w:val="7E876E7F"/>
    <w:rsid w:val="7E8D2CD0"/>
    <w:rsid w:val="7EA64FD4"/>
    <w:rsid w:val="7EA652E1"/>
    <w:rsid w:val="7EAD7C73"/>
    <w:rsid w:val="7EB93A9E"/>
    <w:rsid w:val="7ED4259F"/>
    <w:rsid w:val="7ED656C1"/>
    <w:rsid w:val="7EE94F58"/>
    <w:rsid w:val="7EF11A57"/>
    <w:rsid w:val="7F493FF9"/>
    <w:rsid w:val="7F5B6C76"/>
    <w:rsid w:val="7F5D05D8"/>
    <w:rsid w:val="7F642CFF"/>
    <w:rsid w:val="7F7D5010"/>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9980</Words>
  <Characters>11195</Characters>
  <Lines>0</Lines>
  <Paragraphs>0</Paragraphs>
  <TotalTime>3</TotalTime>
  <ScaleCrop>false</ScaleCrop>
  <LinksUpToDate>false</LinksUpToDate>
  <CharactersWithSpaces>12927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2023-04-19T08:19:12Z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9287CD1DB6F74A3D9E0854E8BB5C20FA</vt:lpwstr>
  </property>
</Properties>
</file>